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3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0"/>
          <w:szCs w:val="40"/>
          <w:b w:val="1"/>
          <w:bCs w:val="1"/>
          <w:color w:val="auto"/>
        </w:rPr>
        <w:t>UPWORK INC.</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1"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41"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001-38678</w:t>
            </w:r>
          </w:p>
        </w:tc>
        <w:tc>
          <w:tcPr>
            <w:tcW w:w="2800" w:type="dxa"/>
            <w:vAlign w:val="bottom"/>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46-4337682</w:t>
            </w:r>
          </w:p>
        </w:tc>
      </w:tr>
      <w:tr>
        <w:trPr>
          <w:trHeight w:val="269"/>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c>
          <w:tcPr>
            <w:tcW w:w="2940" w:type="dxa"/>
            <w:vAlign w:val="bottom"/>
          </w:tcPr>
          <w:p>
            <w:pPr>
              <w:jc w:val="center"/>
              <w:ind w:right="1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741"/>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311"/>
        </w:trPr>
        <w:tc>
          <w:tcPr>
            <w:tcW w:w="3180" w:type="dxa"/>
            <w:vAlign w:val="bottom"/>
          </w:tcPr>
          <w:p>
            <w:pPr>
              <w:jc w:val="center"/>
              <w:ind w:right="459"/>
              <w:spacing w:after="0"/>
              <w:rPr>
                <w:sz w:val="20"/>
                <w:szCs w:val="20"/>
                <w:color w:val="auto"/>
              </w:rPr>
            </w:pPr>
            <w:r>
              <w:rPr>
                <w:rFonts w:ascii="Times New Roman" w:cs="Times New Roman" w:eastAsia="Times New Roman" w:hAnsi="Times New Roman"/>
                <w:sz w:val="18"/>
                <w:szCs w:val="18"/>
                <w:b w:val="1"/>
                <w:bCs w:val="1"/>
                <w:color w:val="auto"/>
                <w:w w:val="99"/>
              </w:rPr>
              <w:t>530 Lytton Avenue, Suite 301</w:t>
            </w:r>
          </w:p>
        </w:tc>
        <w:tc>
          <w:tcPr>
            <w:tcW w:w="29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97"/>
        </w:trPr>
        <w:tc>
          <w:tcPr>
            <w:tcW w:w="318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Palo Alto, California</w:t>
            </w:r>
          </w:p>
        </w:tc>
        <w:tc>
          <w:tcPr>
            <w:tcW w:w="2940" w:type="dxa"/>
            <w:vAlign w:val="bottom"/>
          </w:tcPr>
          <w:p>
            <w:pPr>
              <w:spacing w:after="0"/>
              <w:rPr>
                <w:sz w:val="24"/>
                <w:szCs w:val="24"/>
                <w:color w:val="auto"/>
              </w:rPr>
            </w:pPr>
          </w:p>
        </w:tc>
        <w:tc>
          <w:tcPr>
            <w:tcW w:w="280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94301</w:t>
            </w:r>
          </w:p>
        </w:tc>
      </w:tr>
      <w:tr>
        <w:trPr>
          <w:trHeight w:val="188"/>
        </w:trPr>
        <w:tc>
          <w:tcPr>
            <w:tcW w:w="3180" w:type="dxa"/>
            <w:vAlign w:val="bottom"/>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40" w:type="dxa"/>
            <w:vAlign w:val="bottom"/>
          </w:tcPr>
          <w:p>
            <w:pPr>
              <w:spacing w:after="0"/>
              <w:rPr>
                <w:sz w:val="16"/>
                <w:szCs w:val="16"/>
                <w:color w:val="auto"/>
              </w:rPr>
            </w:pPr>
          </w:p>
        </w:tc>
        <w:tc>
          <w:tcPr>
            <w:tcW w:w="2800" w:type="dxa"/>
            <w:vAlign w:val="bottom"/>
          </w:tcPr>
          <w:p>
            <w:pPr>
              <w:jc w:val="center"/>
              <w:ind w:left="741"/>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316-7500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w:t>
      </w:r>
    </w:p>
    <w:p>
      <w:pPr>
        <w:spacing w:after="0" w:line="15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186" w:right="499" w:bottom="1440" w:gutter="0" w:footer="0" w:header="0"/>
        </w:sectPr>
      </w:pPr>
    </w:p>
    <w:p>
      <w:pPr>
        <w:spacing w:after="0" w:line="5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p>
      <w:pPr>
        <w:spacing w:after="0" w:line="82" w:lineRule="exact"/>
        <w:rPr>
          <w:sz w:val="24"/>
          <w:szCs w:val="24"/>
          <w:color w:val="auto"/>
        </w:rPr>
      </w:pPr>
    </w:p>
    <w:p>
      <w:pPr>
        <w:sectPr>
          <w:pgSz w:w="11900" w:h="16838" w:orient="portrait"/>
          <w:cols w:equalWidth="0" w:num="3">
            <w:col w:w="4520" w:space="720"/>
            <w:col w:w="1260" w:space="720"/>
            <w:col w:w="3860"/>
          </w:cols>
          <w:pgMar w:left="320" w:top="1186" w:right="4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Common Stock, $0.0001 par value per share</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UPWK</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11" w:lineRule="exact"/>
        <w:rPr>
          <w:sz w:val="24"/>
          <w:szCs w:val="24"/>
          <w:color w:val="auto"/>
        </w:rPr>
      </w:pPr>
    </w:p>
    <w:p>
      <w:pPr>
        <w:sectPr>
          <w:pgSz w:w="11900" w:h="16838" w:orient="portrait"/>
          <w:cols w:equalWidth="0" w:num="3">
            <w:col w:w="4700" w:space="720"/>
            <w:col w:w="1200" w:space="720"/>
            <w:col w:w="3740"/>
          </w:cols>
          <w:pgMar w:left="320" w:top="1186" w:right="499" w:bottom="1440" w:gutter="0" w:footer="0" w:header="0"/>
          <w:type w:val="continuous"/>
        </w:sectPr>
      </w:pPr>
    </w:p>
    <w:p>
      <w:pPr>
        <w:spacing w:after="0" w:line="178"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2026, Upwork Inc., or the Company, will hold a conference call regarding its financial results for the quarter ended September 30, 2026. The Company issued a press release announcing its financial results for the quarter ended September 30, 2026. The full text of the press release is attached as Exhibit 99.1 to this report.</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or the Exchange Act, or otherwise subject to the liabilities of that section, nor shall it be deemed incorporated by reference into any other filing under the Securities Act of 1933, as amended, or the Securities Act, except as expressly set forth by specific reference in such a filing.</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making reference to certain financial measures not prepared in accordance with generally accepted accounting principles in the United States, or GAAP, in the press release and the conference call. A reconciliation of GAAP to these non-GAAP results is provided in the press release attached as Exhibit 99.1 to this report.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uses its Investor Relations website (investors.upwork.com), its blog (upwork.com/blog), its X handle (twitter.com/Upwork), Hayden Brown’s X handle (twitter.com/hydnbrwn) and LinkedIn profile (linkedin.com/in/haydenlbrown), and Erica Gessert’s LinkedIn profile (linkedin.com/in/erica-gessert) as means of disseminating or providing notification of, among other things, news or announcements regarding its business or financial performance, investor events, press releases, and earnings releases, and as means of disclosing material non-public information and for complying with its disclosure obligations under Regulation FD. The content of the Company’s websites and information that the Company may post on or provide to online and social media channels, including those mentioned above, and information that can be accessed through the Company’s websites or these online and social media channels are not incorporated by reference into this report or in any other report or document the Company files with the Securities and Exchange Commission, and any references to the Company’s websites or these online and social media channels are intended to be inactive textual references only.</w:t>
      </w:r>
    </w:p>
    <w:p>
      <w:pPr>
        <w:spacing w:after="0" w:line="21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On October 27, 2026, Erica Gessert notified the Company of her intention to resign from her position as the Company’s Chief Financial Officer and principal financial officer, effective January 1, 2027 (the “Resignation Date”). Following the Resignation Date, Ms. Gessert will serve in an advisory role through March 31, 2027 to support the transition of her responsibilities. Ms. Gessert’s decision to resign was not the result of any disagreement with the Company on any matter relating to its operations, policies or practices.</w:t>
      </w:r>
    </w:p>
    <w:p>
      <w:pPr>
        <w:spacing w:after="0" w:line="20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On November 2, 2026, the Company announced that the Company’s board of directors (the “Board”) appointed Peter Sanborn, age 43, the Company’s current Chief Business Officer, to serve as the Company’s Chief Financial Officer (“CFO”) and principal financial officer, effective as of the Resignation Date. Mr. Sanborn will cease to serve as the Company’s Chief Business Officer as of the Resignation Date.</w:t>
      </w:r>
    </w:p>
    <w:p>
      <w:pPr>
        <w:spacing w:after="0" w:line="20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Biographical information for Mr. Sanborn may be found in the Company’s definitive proxy statement on Schedule 14A filed with the Securities and Exchange Commission on April 23, 2026.</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Mr. Sanborn and any other persons pursuant to which Mr. Sanborn was selected as an officer. There are no family relationships between Mr. Sanborn and any director or executive officer of the Company. Mr. Sanborn is not a party to any transaction required to be disclosed pursuant to Item 404(a) of Regulation S-K.</w:t>
      </w:r>
    </w:p>
    <w:p>
      <w:pPr>
        <w:spacing w:after="0" w:line="20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Current Report on Form 8-K, the material terms of Mr. Sanborn’s compensation in connection with his appointment as CFO and Ms. Gessert’s advisory role have not yet been determined. Once such terms are determined and approved by the compensation committee, the Company will file an amendment to this Current Report on Form 8-K to disclose such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r>
      <w:tr>
        <w:trPr>
          <w:trHeight w:val="196"/>
        </w:trPr>
        <w:tc>
          <w:tcPr>
            <w:tcW w:w="13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November 2, 2026</w:t>
            </w:r>
          </w:p>
        </w:tc>
        <w:tc>
          <w:tcPr>
            <w:tcW w:w="6940" w:type="dxa"/>
            <w:vAlign w:val="bottom"/>
          </w:tcPr>
          <w:p>
            <w:pPr>
              <w:spacing w:after="0"/>
              <w:rPr>
                <w:sz w:val="17"/>
                <w:szCs w:val="17"/>
                <w:color w:val="auto"/>
              </w:rPr>
            </w:pPr>
          </w:p>
        </w:tc>
      </w:tr>
      <w:tr>
        <w:trPr>
          <w:trHeight w:val="26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089" w:right="339" w:bottom="654" w:gutter="0" w:footer="0" w:header="0"/>
        </w:sectPr>
      </w:pPr>
    </w:p>
    <w:bookmarkStart w:id="2" w:name="page3"/>
    <w:bookmarkEnd w:id="2"/>
    <w:p>
      <w:pPr>
        <w:ind w:left="5640"/>
        <w:spacing w:after="0"/>
        <w:rPr>
          <w:sz w:val="20"/>
          <w:szCs w:val="20"/>
          <w:color w:val="auto"/>
        </w:rPr>
      </w:pPr>
      <w:r>
        <w:rPr>
          <w:rFonts w:ascii="Times New Roman" w:cs="Times New Roman" w:eastAsia="Times New Roman" w:hAnsi="Times New Roman"/>
          <w:sz w:val="18"/>
          <w:szCs w:val="18"/>
          <w:color w:val="auto"/>
        </w:rPr>
        <w:t>UPWORK INC.</w:t>
      </w:r>
    </w:p>
    <w:p>
      <w:pPr>
        <w:spacing w:after="0" w:line="302" w:lineRule="exact"/>
        <w:rPr>
          <w:sz w:val="20"/>
          <w:szCs w:val="20"/>
          <w:color w:val="auto"/>
        </w:rPr>
      </w:pPr>
    </w:p>
    <w:p>
      <w:pPr>
        <w:spacing w:after="0"/>
        <w:tabs>
          <w:tab w:leader="none" w:pos="5620" w:val="left"/>
          <w:tab w:leader="none" w:pos="8080" w:val="left"/>
        </w:tabs>
        <w:rPr>
          <w:sz w:val="20"/>
          <w:szCs w:val="20"/>
          <w:color w:val="auto"/>
        </w:rPr>
      </w:pPr>
      <w:r>
        <w:rPr>
          <w:rFonts w:ascii="Times New Roman" w:cs="Times New Roman" w:eastAsia="Times New Roman" w:hAnsi="Times New Roman"/>
          <w:sz w:val="18"/>
          <w:szCs w:val="18"/>
          <w:b w:val="1"/>
          <w:bCs w:val="1"/>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Erica Gessert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19685</wp:posOffset>
            </wp:positionV>
            <wp:extent cx="32232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22"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b w:val="1"/>
          <w:bCs w:val="1"/>
          <w:color w:val="auto"/>
        </w:rPr>
        <w:t>Erica Gessert</w:t>
      </w:r>
    </w:p>
    <w:p>
      <w:pPr>
        <w:jc w:val="center"/>
        <w:ind w:left="616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ectPr>
          <w:pgSz w:w="11900" w:h="16838" w:orient="portrait"/>
          <w:cols w:equalWidth="0" w:num="1">
            <w:col w:w="10119"/>
          </w:cols>
          <w:pgMar w:left="340" w:top="17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Upwork Reports Third Quarter 2026 Financial Results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Lifted, an Upwork company, acquires WorkMotion, a leading employer of record (EOR)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Third quarter revenue of $185.6 million and GAAP net income of $31.8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Third quarter adjusted EBITDA of $63.8 million or 34.4% adjusted EBITDA margin</w:t>
      </w:r>
    </w:p>
    <w:p>
      <w:pPr>
        <w:spacing w:after="0" w:line="200" w:lineRule="exact"/>
        <w:rPr>
          <w:sz w:val="20"/>
          <w:szCs w:val="20"/>
          <w:color w:val="auto"/>
        </w:rPr>
      </w:pPr>
    </w:p>
    <w:p>
      <w:pPr>
        <w:spacing w:after="0" w:line="212" w:lineRule="exact"/>
        <w:rPr>
          <w:sz w:val="20"/>
          <w:szCs w:val="20"/>
          <w:color w:val="auto"/>
        </w:rPr>
      </w:pPr>
    </w:p>
    <w:p>
      <w:pPr>
        <w:jc w:val="both"/>
        <w:spacing w:after="0" w:line="396" w:lineRule="auto"/>
        <w:rPr>
          <w:sz w:val="20"/>
          <w:szCs w:val="20"/>
          <w:color w:val="auto"/>
        </w:rPr>
      </w:pPr>
      <w:r>
        <w:rPr>
          <w:rFonts w:ascii="Arial" w:cs="Arial" w:eastAsia="Arial" w:hAnsi="Arial"/>
          <w:sz w:val="18"/>
          <w:szCs w:val="18"/>
          <w:b w:val="1"/>
          <w:bCs w:val="1"/>
          <w:color w:val="222222"/>
        </w:rPr>
        <w:t xml:space="preserve">PALO ALTO, Calif. – </w:t>
      </w:r>
      <w:r>
        <w:rPr>
          <w:rFonts w:ascii="Arial" w:cs="Arial" w:eastAsia="Arial" w:hAnsi="Arial"/>
          <w:sz w:val="18"/>
          <w:szCs w:val="18"/>
          <w:color w:val="000000"/>
        </w:rPr>
        <w:t>November 2, 2026</w:t>
      </w:r>
      <w:r>
        <w:rPr>
          <w:rFonts w:ascii="Arial" w:cs="Arial" w:eastAsia="Arial" w:hAnsi="Arial"/>
          <w:sz w:val="18"/>
          <w:szCs w:val="18"/>
          <w:b w:val="1"/>
          <w:bCs w:val="1"/>
          <w:color w:val="222222"/>
        </w:rPr>
        <w:t xml:space="preserve"> </w:t>
      </w:r>
      <w:r>
        <w:rPr>
          <w:rFonts w:ascii="Arial" w:cs="Arial" w:eastAsia="Arial" w:hAnsi="Arial"/>
          <w:sz w:val="18"/>
          <w:szCs w:val="18"/>
          <w:color w:val="222222"/>
        </w:rPr>
        <w:t>–</w:t>
      </w:r>
      <w:r>
        <w:rPr>
          <w:rFonts w:ascii="Arial" w:cs="Arial" w:eastAsia="Arial" w:hAnsi="Arial"/>
          <w:sz w:val="18"/>
          <w:szCs w:val="18"/>
          <w:b w:val="1"/>
          <w:bCs w:val="1"/>
          <w:color w:val="222222"/>
        </w:rPr>
        <w:t xml:space="preserve"> </w:t>
      </w:r>
      <w:r>
        <w:rPr>
          <w:rFonts w:ascii="Arial" w:cs="Arial" w:eastAsia="Arial" w:hAnsi="Arial"/>
          <w:sz w:val="18"/>
          <w:szCs w:val="18"/>
          <w:color w:val="000000"/>
        </w:rPr>
        <w:t>Upwork Inc</w:t>
      </w:r>
      <w:r>
        <w:rPr>
          <w:rFonts w:ascii="Arial" w:cs="Arial" w:eastAsia="Arial" w:hAnsi="Arial"/>
          <w:sz w:val="18"/>
          <w:szCs w:val="18"/>
          <w:color w:val="1155CC"/>
        </w:rPr>
        <w:t>.</w:t>
      </w:r>
      <w:r>
        <w:rPr>
          <w:rFonts w:ascii="Arial" w:cs="Arial" w:eastAsia="Arial" w:hAnsi="Arial"/>
          <w:sz w:val="18"/>
          <w:szCs w:val="18"/>
          <w:b w:val="1"/>
          <w:bCs w:val="1"/>
          <w:color w:val="222222"/>
        </w:rPr>
        <w:t xml:space="preserve"> </w:t>
      </w:r>
      <w:r>
        <w:rPr>
          <w:rFonts w:ascii="Arial" w:cs="Arial" w:eastAsia="Arial" w:hAnsi="Arial"/>
          <w:sz w:val="18"/>
          <w:szCs w:val="18"/>
          <w:color w:val="222222"/>
        </w:rPr>
        <w:t>(Nasdaq: UPWK), the world’s human and AI-powered work marketplace, today</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announced its financial results for the </w:t>
      </w:r>
      <w:r>
        <w:rPr>
          <w:rFonts w:ascii="Arial" w:cs="Arial" w:eastAsia="Arial" w:hAnsi="Arial"/>
          <w:sz w:val="18"/>
          <w:szCs w:val="18"/>
          <w:color w:val="000000"/>
        </w:rPr>
        <w:t>third</w:t>
      </w:r>
      <w:r>
        <w:rPr>
          <w:rFonts w:ascii="Arial" w:cs="Arial" w:eastAsia="Arial" w:hAnsi="Arial"/>
          <w:sz w:val="18"/>
          <w:szCs w:val="18"/>
          <w:color w:val="222222"/>
        </w:rPr>
        <w:t xml:space="preserve"> quarter of </w:t>
      </w:r>
      <w:r>
        <w:rPr>
          <w:rFonts w:ascii="Arial" w:cs="Arial" w:eastAsia="Arial" w:hAnsi="Arial"/>
          <w:sz w:val="18"/>
          <w:szCs w:val="18"/>
          <w:color w:val="000000"/>
        </w:rPr>
        <w:t>2026</w:t>
      </w:r>
      <w:r>
        <w:rPr>
          <w:rFonts w:ascii="Arial" w:cs="Arial" w:eastAsia="Arial" w:hAnsi="Arial"/>
          <w:sz w:val="18"/>
          <w:szCs w:val="18"/>
          <w:color w:val="222222"/>
        </w:rPr>
        <w:t>.</w:t>
      </w:r>
    </w:p>
    <w:p>
      <w:pPr>
        <w:spacing w:after="0" w:line="113"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"In the third quarter, Upwork executed strongly as our strategic growth pillars continued to gain momentum," said Hayden Brown, president and CEO of Upwork Inc. "We are doubling down on our enterprise strategy with Lifted’s acquisition of WorkMotion, a leading Berlin-based EOR, to capture growing global demand. At the same time, the launch of Upwork’s MCP server is opening our marketplace to AI agents as a new class of client, and today we launched Upwork Now so clients can find talent to start work right away. Both mark a transformational shift toward making Upwork a capability wherever work begins. Combined with continued growth of our higher-margin products and high-value customers, we’re well positioned to capture new opportunities while continuing to drive strong, profitable growth."</w:t>
      </w:r>
    </w:p>
    <w:p>
      <w:pPr>
        <w:spacing w:after="0" w:line="218"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“Our focus remains squarely on sustained profitability and disciplined execution across our growth pillars,” said Erica Gessert, CFO of Upwork Inc. “Our strong free cash flow profile and durable, high-margin business model give us the financial flexibility to navigate evolving market dynamics while delivering consistent long-term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2026 Financial Highlights</w:t>
      </w:r>
    </w:p>
    <w:p>
      <w:pPr>
        <w:spacing w:after="0" w:line="30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GSV</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of $914.1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of $185.6 million</w:t>
      </w:r>
    </w:p>
    <w:p>
      <w:pPr>
        <w:spacing w:after="0" w:line="95"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Active clients</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of </w:t>
      </w:r>
      <w:r>
        <w:rPr>
          <w:rFonts w:ascii="Arial" w:cs="Arial" w:eastAsia="Arial" w:hAnsi="Arial"/>
          <w:sz w:val="18"/>
          <w:szCs w:val="18"/>
          <w:color w:val="auto"/>
        </w:rPr>
        <w:t>717,000</w:t>
      </w:r>
    </w:p>
    <w:p>
      <w:pPr>
        <w:spacing w:after="0" w:line="5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GSV per active client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of $5,418, an increase of 8% year-over-year</w:t>
      </w:r>
    </w:p>
    <w:p>
      <w:pPr>
        <w:spacing w:after="0" w:line="4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GAAP Net income </w:t>
      </w:r>
      <w:r>
        <w:rPr>
          <w:rFonts w:ascii="Arial" w:cs="Arial" w:eastAsia="Arial" w:hAnsi="Arial"/>
          <w:sz w:val="18"/>
          <w:szCs w:val="18"/>
          <w:color w:val="auto"/>
        </w:rPr>
        <w:t>was $31.8 million, an increase of 8% year-over-year</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GAAP Diluted earnings per share </w:t>
      </w:r>
      <w:r>
        <w:rPr>
          <w:rFonts w:ascii="Arial" w:cs="Arial" w:eastAsia="Arial" w:hAnsi="Arial"/>
          <w:sz w:val="18"/>
          <w:szCs w:val="18"/>
          <w:color w:val="auto"/>
        </w:rPr>
        <w:t>was $0.25, compared to diluted earnings per share of $0.21 in the third quarter of 2025</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was $63.8 million, up 7% year-over-year</w:t>
      </w:r>
    </w:p>
    <w:p>
      <w:pPr>
        <w:spacing w:after="0" w:line="54" w:lineRule="exact"/>
        <w:rPr>
          <w:rFonts w:ascii="Arial" w:cs="Arial" w:eastAsia="Arial" w:hAnsi="Arial"/>
          <w:sz w:val="18"/>
          <w:szCs w:val="18"/>
          <w:color w:val="auto"/>
        </w:rPr>
      </w:pPr>
    </w:p>
    <w:p>
      <w:pPr>
        <w:ind w:left="660" w:hanging="328"/>
        <w:spacing w:after="0" w:line="3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Cash provided by operating activities </w:t>
      </w:r>
      <w:r>
        <w:rPr>
          <w:rFonts w:ascii="Arial" w:cs="Arial" w:eastAsia="Arial" w:hAnsi="Arial"/>
          <w:sz w:val="18"/>
          <w:szCs w:val="18"/>
          <w:color w:val="auto"/>
        </w:rPr>
        <w:t>was $65.9 million, compared to cash provided by operating activities of $75.1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2025</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was $53.9 million, compared to free cash flow of $69.4 million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2026 and Recent Operational Highlights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the World’s Human and AI-Powered Work Marketplace</w:t>
      </w:r>
    </w:p>
    <w:p>
      <w:pPr>
        <w:spacing w:after="0" w:line="212" w:lineRule="exact"/>
        <w:rPr>
          <w:sz w:val="20"/>
          <w:szCs w:val="20"/>
          <w:color w:val="auto"/>
        </w:rPr>
      </w:pPr>
    </w:p>
    <w:p>
      <w:pPr>
        <w:jc w:val="both"/>
        <w:ind w:left="660" w:hanging="328"/>
        <w:spacing w:after="0" w:line="485" w:lineRule="auto"/>
        <w:tabs>
          <w:tab w:leader="none" w:pos="6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Upwork Model Context Protocol (MCP) server has seen rapid growth in adoption and usage among clients and freelancers. Weekly active users have increased 20x since the launch in August, while AI agents have made nearly 50 million requests, driving more than $3 million in estimated annualized Connects revenue.</w:t>
      </w:r>
    </w:p>
    <w:p>
      <w:pPr>
        <w:jc w:val="both"/>
        <w:ind w:left="660" w:hanging="328"/>
        <w:spacing w:after="0" w:line="503" w:lineRule="auto"/>
        <w:tabs>
          <w:tab w:leader="none" w:pos="649"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the public beta of Upwork Now, which connects clients with freelancers who are online and ready to start working immediately. Upwork Now is also available through the MCP server, so people and their AI agents can bring in those freelancers the moment a need arises and without leaving their AI workflow.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Growing AI Work on the Marketplace</w:t>
      </w:r>
    </w:p>
    <w:p>
      <w:pPr>
        <w:spacing w:after="0" w:line="212"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GSV from freelancers with AI-skills reached an estimated annualized run rate of nearly $450 million in Q3 2026.</w:t>
      </w:r>
    </w:p>
    <w:p>
      <w:pPr>
        <w:sectPr>
          <w:pgSz w:w="11900" w:h="16838" w:orient="portrait"/>
          <w:cols w:equalWidth="0" w:num="1">
            <w:col w:w="11240"/>
          </w:cols>
          <w:pgMar w:left="320" w:top="944" w:right="339" w:bottom="0" w:gutter="0" w:footer="0" w:header="0"/>
        </w:sectPr>
      </w:pPr>
    </w:p>
    <w:p>
      <w:pPr>
        <w:spacing w:after="0" w:line="387" w:lineRule="exact"/>
        <w:rPr>
          <w:sz w:val="20"/>
          <w:szCs w:val="20"/>
          <w:color w:val="auto"/>
        </w:rPr>
      </w:pPr>
    </w:p>
    <w:p>
      <w:pPr>
        <w:ind w:left="700" w:hanging="368"/>
        <w:spacing w:after="0"/>
        <w:tabs>
          <w:tab w:leader="none" w:pos="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GSV from freelancers with AI-skills increased 55% year-over-year in Q3 2026.</w:t>
      </w:r>
    </w:p>
    <w:p>
      <w:pPr>
        <w:sectPr>
          <w:pgSz w:w="11900" w:h="16838" w:orient="portrait"/>
          <w:cols w:equalWidth="0" w:num="1">
            <w:col w:w="11240"/>
          </w:cols>
          <w:pgMar w:left="320" w:top="944"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222222"/>
        </w:rPr>
        <w:t>Winning Bigger with SMB</w:t>
      </w:r>
    </w:p>
    <w:p>
      <w:pPr>
        <w:spacing w:after="0" w:line="21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Q3 2026 GSV from the Business Plus offering for SMBs increased 13% quarter-over-quarter and 132% year-over-year.</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Q3 2026 Business Plus active clients grew 9% quarter-over-quarter and 154% year-over-year.</w:t>
      </w:r>
    </w:p>
    <w:p>
      <w:pPr>
        <w:spacing w:after="0" w:line="211"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40% of active clients on Business Plus in Q3 2026 had their first Upwork spend on Business Plus, signaling strong product-market fit.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Unlocking the Enterprise Opportunity</w:t>
      </w:r>
    </w:p>
    <w:p>
      <w:pPr>
        <w:spacing w:after="0" w:line="212"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continue to make strong progress on the migration of Enterprise customers to the Lifted platform.</w:t>
      </w:r>
    </w:p>
    <w:p>
      <w:pPr>
        <w:spacing w:after="0" w:line="211" w:lineRule="exact"/>
        <w:rPr>
          <w:rFonts w:ascii="Arial" w:cs="Arial" w:eastAsia="Arial" w:hAnsi="Arial"/>
          <w:sz w:val="18"/>
          <w:szCs w:val="18"/>
          <w:color w:val="auto"/>
        </w:rPr>
      </w:pPr>
    </w:p>
    <w:p>
      <w:pPr>
        <w:ind w:left="660" w:right="560" w:hanging="328"/>
        <w:spacing w:after="0" w:line="485"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Accelerated Lifted’s go-to-market momentum by signing three new logos, expanding the pipeline, and earning recognition as a leader in Everest Group’s Contractor of Record (CoR) and Contingent Employer of Record (CEoR) Solutions PEAK Matrix® Assessment for 2026.</w:t>
      </w:r>
    </w:p>
    <w:p>
      <w:pPr>
        <w:jc w:val="both"/>
        <w:ind w:left="660" w:hanging="328"/>
        <w:spacing w:after="0" w:line="495" w:lineRule="auto"/>
        <w:tabs>
          <w:tab w:leader="none" w:pos="649"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on the success of Ascen, Lifted acquired WorkMotion who will directly employ contingent talent across more than 30 countries. The acquisition is expected to strengthen our Enterprise offering, reduce third-party EOR dependency, and deliver more consistent pricing and experiences for global clients.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Guidance &amp; Outlook</w:t>
      </w:r>
    </w:p>
    <w:p>
      <w:pPr>
        <w:spacing w:after="0" w:line="225"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Upwork’s guidance for revenue, adjusted EBITDA, diluted weighted-average shares outstanding, and non-GAAP diluted EPS for the fourth quarter of 2026 is:</w:t>
      </w:r>
    </w:p>
    <w:p>
      <w:pPr>
        <w:spacing w:after="0" w:line="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$169 million to $177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$51 million to $55 million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Diluted weighted-average shares outstanding: </w:t>
      </w:r>
      <w:r>
        <w:rPr>
          <w:rFonts w:ascii="Arial" w:cs="Arial" w:eastAsia="Arial" w:hAnsi="Arial"/>
          <w:sz w:val="18"/>
          <w:szCs w:val="18"/>
          <w:color w:val="auto"/>
        </w:rPr>
        <w:t>125 million to 128 million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Non-GAAP diluted EPS: </w:t>
      </w:r>
      <w:r>
        <w:rPr>
          <w:rFonts w:ascii="Arial" w:cs="Arial" w:eastAsia="Arial" w:hAnsi="Arial"/>
          <w:sz w:val="18"/>
          <w:szCs w:val="18"/>
          <w:color w:val="auto"/>
        </w:rPr>
        <w:t>$0.30 to $0.32</w:t>
      </w:r>
    </w:p>
    <w:p>
      <w:pPr>
        <w:spacing w:after="0" w:line="293"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Upwork’s guidance for revenue, adjusted EBITDA, diluted weighted-average shares outstanding, and non-GAAP diluted EPS for full year 2026 is:</w:t>
      </w:r>
    </w:p>
    <w:p>
      <w:pPr>
        <w:spacing w:after="0" w:line="3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$742 million to $750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$236 million to $240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Diluted weighted-average shares outstanding: </w:t>
      </w:r>
      <w:r>
        <w:rPr>
          <w:rFonts w:ascii="Arial" w:cs="Arial" w:eastAsia="Arial" w:hAnsi="Arial"/>
          <w:sz w:val="18"/>
          <w:szCs w:val="18"/>
          <w:color w:val="auto"/>
        </w:rPr>
        <w:t>131 million to 133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Non-GAAP diluted EPS: </w:t>
      </w:r>
      <w:r>
        <w:rPr>
          <w:rFonts w:ascii="Arial" w:cs="Arial" w:eastAsia="Arial" w:hAnsi="Arial"/>
          <w:sz w:val="18"/>
          <w:szCs w:val="18"/>
          <w:color w:val="auto"/>
        </w:rPr>
        <w:t>$1.45 to $1.47</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Chief Financial Officer Transition</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announced that Erica Gessert, Upwork’s CFO since April 2023, will step down as CFO on January 1, 2027 and remain with the Company in an advisory role for several months. Peter Sanborn, currently Upwork’s Chief Business Officer, has been appointed Upwork’s next CFO.</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“Erica has been an exceptional business partner and financial leader for Upwork, and the Board and I are deeply grateful for her contributions,” said Brown. “During her tenure, Erica helped Upwork deliver record revenue and profitability, expand margins, strengthen cash generation, and manage our capital allocation strategy to drive value for our shareholders. She also developed a deep and talented finance team, hence the appointment of Peter Sanborn as our next CFO.”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“Peter has played an important role in shaping Upwork’s strategy, expanding our partnerships, establishing the new Lifted business, and bringing Upwork to more customers," Brown continued. His experience across finance, strategy, corporate development, IR, investing, and partnerships, together with his deep understanding of Upwork’s market, customers, and long-term opportunity, make him well positioned to lead our finance team. All of us at Upwork wish Erica the very best and congratulate Peter on his new role.”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has been professionally and personally rewarding to serve as Upwork’s CFO, and I’m proud of all that we have accomplished together,” said Gessert. “With the growth pillars we’ve put in place across Business Plus, AI, and Lifted, as well as the operational discipline we’ve put in place, Upwork has a bright future with tremendous optionality. I’m especially thankful to Hayden, the Board, and to my colleagues across Upwork for their partnership. I look forward to supporting a smooth transition to Peter and to watching Upwork achieve even greater success.”</w:t>
      </w:r>
    </w:p>
    <w:p>
      <w:pPr>
        <w:sectPr>
          <w:pgSz w:w="11900" w:h="16838" w:orient="portrait"/>
          <w:cols w:equalWidth="0" w:num="1">
            <w:col w:w="11240"/>
          </w:cols>
          <w:pgMar w:left="320" w:top="215" w:right="339" w:bottom="1440" w:gutter="0" w:footer="0" w:header="0"/>
        </w:sectPr>
      </w:pPr>
    </w:p>
    <w:bookmarkStart w:id="5" w:name="page6"/>
    <w:bookmarkEnd w:id="5"/>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Financial and Operational Metrics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percentages and basis points)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3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37"/>
        </w:trPr>
        <w:tc>
          <w:tcPr>
            <w:tcW w:w="2080" w:type="dxa"/>
            <w:vAlign w:val="bottom"/>
            <w:tcBorders>
              <w:top w:val="single" w:sz="8" w:color="CCEEFF"/>
            </w:tcBorders>
            <w:shd w:val="clear" w:color="auto" w:fill="CCEEFF"/>
          </w:tcPr>
          <w:p>
            <w:pPr>
              <w:ind w:left="20"/>
              <w:spacing w:after="0" w:line="236" w:lineRule="exact"/>
              <w:rPr>
                <w:sz w:val="20"/>
                <w:szCs w:val="20"/>
                <w:color w:val="auto"/>
              </w:rPr>
            </w:pPr>
            <w:r>
              <w:rPr>
                <w:rFonts w:ascii="Arial" w:cs="Arial" w:eastAsia="Arial" w:hAnsi="Arial"/>
                <w:sz w:val="18"/>
                <w:szCs w:val="18"/>
                <w:color w:val="auto"/>
              </w:rPr>
              <w:t>GSV</w:t>
            </w:r>
            <w:r>
              <w:rPr>
                <w:rFonts w:ascii="Arial" w:cs="Arial" w:eastAsia="Arial" w:hAnsi="Arial"/>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914,064</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1,016,679</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2,866,539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3,007,053</w:t>
            </w:r>
          </w:p>
        </w:tc>
        <w:tc>
          <w:tcPr>
            <w:tcW w:w="1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line="243" w:lineRule="exact"/>
              <w:rPr>
                <w:sz w:val="20"/>
                <w:szCs w:val="20"/>
                <w:color w:val="auto"/>
              </w:rPr>
            </w:pPr>
            <w:r>
              <w:rPr>
                <w:rFonts w:ascii="Arial" w:cs="Arial" w:eastAsia="Arial" w:hAnsi="Arial"/>
                <w:sz w:val="18"/>
                <w:szCs w:val="18"/>
                <w:color w:val="auto"/>
              </w:rPr>
              <w:t>Marketplace revenue</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159,321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174,572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496,884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511,525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Enterprise revenue</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26,278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27,158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75,858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77,850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141,295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155,887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438,509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458,294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margin</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 bps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bps</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106,702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126,129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343,061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357,281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88,675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99,791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line="243"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63,789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59,627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185,268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172,699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margin</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 bps</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bps</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line="189" w:lineRule="exact"/>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6"/>
                <w:szCs w:val="16"/>
                <w:color w:val="auto"/>
              </w:rPr>
            </w:pPr>
          </w:p>
        </w:tc>
        <w:tc>
          <w:tcPr>
            <w:tcW w:w="1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481 bps</w:t>
            </w:r>
          </w:p>
        </w:tc>
        <w:tc>
          <w:tcPr>
            <w:tcW w:w="3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305 bps</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line="243" w:lineRule="exact"/>
              <w:rPr>
                <w:sz w:val="20"/>
                <w:szCs w:val="20"/>
                <w:color w:val="auto"/>
              </w:rPr>
            </w:pPr>
            <w:r>
              <w:rPr>
                <w:rFonts w:ascii="Arial" w:cs="Arial" w:eastAsia="Arial" w:hAnsi="Arial"/>
                <w:sz w:val="18"/>
                <w:szCs w:val="18"/>
                <w:color w:val="auto"/>
              </w:rPr>
              <w:t>margin</w:t>
            </w:r>
            <w:r>
              <w:rPr>
                <w:rFonts w:ascii="Arial" w:cs="Arial" w:eastAsia="Arial" w:hAnsi="Arial"/>
                <w:sz w:val="23"/>
                <w:szCs w:val="23"/>
                <w:color w:val="auto"/>
                <w:vertAlign w:val="superscript"/>
              </w:rPr>
              <w:t>(2)</w:t>
            </w:r>
          </w:p>
        </w:tc>
        <w:tc>
          <w:tcPr>
            <w:tcW w:w="12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provided by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65,947</w:t>
            </w: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75,079</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135,840</w:t>
            </w:r>
          </w:p>
        </w:tc>
        <w:tc>
          <w:tcPr>
            <w:tcW w:w="8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184,558</w:t>
            </w:r>
          </w:p>
        </w:tc>
        <w:tc>
          <w:tcPr>
            <w:tcW w:w="1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0" w:type="dxa"/>
            <w:vAlign w:val="bottom"/>
            <w:vMerge w:val="continue"/>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6"/>
        </w:trPr>
        <w:tc>
          <w:tcPr>
            <w:tcW w:w="208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53,854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69,431</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102,697</w:t>
            </w:r>
          </w:p>
        </w:tc>
        <w:tc>
          <w:tcPr>
            <w:tcW w:w="8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165,847</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0" w:type="dxa"/>
            <w:vAlign w:val="bottom"/>
          </w:tcPr>
          <w:p>
            <w:pPr>
              <w:spacing w:after="0"/>
              <w:rPr>
                <w:sz w:val="20"/>
                <w:szCs w:val="20"/>
                <w:color w:val="auto"/>
              </w:rPr>
            </w:pPr>
          </w:p>
        </w:tc>
        <w:tc>
          <w:tcPr>
            <w:tcW w:w="3980" w:type="dxa"/>
            <w:vAlign w:val="bottom"/>
            <w:gridSpan w:val="4"/>
          </w:tcPr>
          <w:p>
            <w:pPr>
              <w:ind w:left="1080"/>
              <w:spacing w:after="0"/>
              <w:rPr>
                <w:sz w:val="20"/>
                <w:szCs w:val="20"/>
                <w:color w:val="auto"/>
              </w:rPr>
            </w:pPr>
            <w:r>
              <w:rPr>
                <w:rFonts w:ascii="Arial" w:cs="Arial" w:eastAsia="Arial" w:hAnsi="Arial"/>
                <w:sz w:val="18"/>
                <w:szCs w:val="18"/>
                <w:b w:val="1"/>
                <w:bCs w:val="1"/>
                <w:color w:val="auto"/>
              </w:rPr>
              <w:t>As of September 30,</w:t>
            </w:r>
          </w:p>
        </w:tc>
        <w:tc>
          <w:tcPr>
            <w:tcW w:w="2060" w:type="dxa"/>
            <w:vAlign w:val="bottom"/>
          </w:tcPr>
          <w:p>
            <w:pPr>
              <w:spacing w:after="0"/>
              <w:rPr>
                <w:sz w:val="20"/>
                <w:szCs w:val="20"/>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520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Active clients</w:t>
            </w:r>
            <w:r>
              <w:rPr>
                <w:rFonts w:ascii="Arial" w:cs="Arial" w:eastAsia="Arial" w:hAnsi="Arial"/>
                <w:sz w:val="23"/>
                <w:szCs w:val="23"/>
                <w:color w:val="auto"/>
                <w:vertAlign w:val="superscript"/>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368"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See Key Definitions in our third quarter 2026 earnings presentation.</w:t>
      </w:r>
    </w:p>
    <w:p>
      <w:pPr>
        <w:spacing w:after="0" w:line="106" w:lineRule="exact"/>
        <w:rPr>
          <w:rFonts w:ascii="Arial" w:cs="Arial" w:eastAsia="Arial" w:hAnsi="Arial"/>
          <w:sz w:val="18"/>
          <w:szCs w:val="18"/>
          <w:color w:val="auto"/>
          <w:vertAlign w:val="superscript"/>
        </w:rPr>
      </w:pPr>
    </w:p>
    <w:p>
      <w:pPr>
        <w:ind w:firstLine="8"/>
        <w:spacing w:after="0" w:line="305" w:lineRule="auto"/>
        <w:tabs>
          <w:tab w:leader="none" w:pos="166" w:val="left"/>
        </w:tabs>
        <w:numPr>
          <w:ilvl w:val="0"/>
          <w:numId w:val="10"/>
        </w:numPr>
        <w:rPr>
          <w:rFonts w:ascii="Arial" w:cs="Arial" w:eastAsia="Arial" w:hAnsi="Arial"/>
          <w:sz w:val="9"/>
          <w:szCs w:val="9"/>
          <w:color w:val="auto"/>
        </w:rPr>
      </w:pPr>
      <w:r>
        <w:rPr>
          <w:rFonts w:ascii="Arial" w:cs="Arial" w:eastAsia="Arial" w:hAnsi="Arial"/>
          <w:sz w:val="14"/>
          <w:szCs w:val="14"/>
          <w:color w:val="auto"/>
        </w:rPr>
        <w:t>An explanation of non-GAAP financial measures and reconciliations to their most directly comparable GAAP financial measures can be found in the “Non-GAAP Financial Measures" section and the subsequent tables at the end of this press release.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2222"/>
        </w:rPr>
        <w:t xml:space="preserve">Third Quarter </w:t>
      </w:r>
      <w:r>
        <w:rPr>
          <w:rFonts w:ascii="Arial" w:cs="Arial" w:eastAsia="Arial" w:hAnsi="Arial"/>
          <w:sz w:val="18"/>
          <w:szCs w:val="18"/>
          <w:b w:val="1"/>
          <w:bCs w:val="1"/>
          <w:u w:val="single" w:color="auto"/>
          <w:color w:val="000000"/>
        </w:rPr>
        <w:t>2026</w:t>
      </w:r>
      <w:r>
        <w:rPr>
          <w:rFonts w:ascii="Arial" w:cs="Arial" w:eastAsia="Arial" w:hAnsi="Arial"/>
          <w:sz w:val="18"/>
          <w:szCs w:val="18"/>
          <w:b w:val="1"/>
          <w:bCs w:val="1"/>
          <w:u w:val="single" w:color="auto"/>
          <w:color w:val="222222"/>
        </w:rPr>
        <w:t xml:space="preserve"> Financial Results Conference Call and Webcast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 xml:space="preserve">Upwork will host a conference call today at 2:00 p.m. Pacific Time/5:00 p.m. Eastern Time to discuss the company’s </w:t>
      </w:r>
      <w:r>
        <w:rPr>
          <w:rFonts w:ascii="Arial" w:cs="Arial" w:eastAsia="Arial" w:hAnsi="Arial"/>
          <w:sz w:val="18"/>
          <w:szCs w:val="18"/>
          <w:color w:val="000000"/>
        </w:rPr>
        <w:t>third</w:t>
      </w:r>
      <w:r>
        <w:rPr>
          <w:rFonts w:ascii="Arial" w:cs="Arial" w:eastAsia="Arial" w:hAnsi="Arial"/>
          <w:sz w:val="18"/>
          <w:szCs w:val="18"/>
          <w:color w:val="222222"/>
        </w:rPr>
        <w:t xml:space="preserve"> quarter </w:t>
      </w:r>
      <w:r>
        <w:rPr>
          <w:rFonts w:ascii="Arial" w:cs="Arial" w:eastAsia="Arial" w:hAnsi="Arial"/>
          <w:sz w:val="18"/>
          <w:szCs w:val="18"/>
          <w:color w:val="000000"/>
        </w:rPr>
        <w:t>2026</w:t>
      </w:r>
      <w:r>
        <w:rPr>
          <w:rFonts w:ascii="Arial" w:cs="Arial" w:eastAsia="Arial" w:hAnsi="Arial"/>
          <w:sz w:val="18"/>
          <w:szCs w:val="18"/>
          <w:color w:val="222222"/>
        </w:rPr>
        <w:t xml:space="preserve"> financial results. An audio webcast archive will be available following the live event </w:t>
      </w:r>
      <w:r>
        <w:rPr>
          <w:rFonts w:ascii="Arial" w:cs="Arial" w:eastAsia="Arial" w:hAnsi="Arial"/>
          <w:sz w:val="18"/>
          <w:szCs w:val="18"/>
          <w:color w:val="000000"/>
        </w:rPr>
        <w:t>for approximately one year at investors.upwork.com.</w:t>
      </w:r>
      <w:r>
        <w:rPr>
          <w:rFonts w:ascii="Arial" w:cs="Arial" w:eastAsia="Arial" w:hAnsi="Arial"/>
          <w:sz w:val="18"/>
          <w:szCs w:val="18"/>
          <w:color w:val="222222"/>
        </w:rPr>
        <w:t xml:space="preserve"> </w:t>
      </w:r>
      <w:r>
        <w:rPr>
          <w:rFonts w:ascii="Arial" w:cs="Arial" w:eastAsia="Arial" w:hAnsi="Arial"/>
          <w:sz w:val="18"/>
          <w:szCs w:val="18"/>
          <w:color w:val="000000"/>
        </w:rPr>
        <w:t xml:space="preserve">Please visit the Upwork Investor Relations website at investors.upwork.com/financial-information/quarterly-results </w:t>
      </w:r>
      <w:r>
        <w:rPr>
          <w:rFonts w:ascii="Arial" w:cs="Arial" w:eastAsia="Arial" w:hAnsi="Arial"/>
          <w:sz w:val="18"/>
          <w:szCs w:val="18"/>
          <w:color w:val="222222"/>
        </w:rPr>
        <w:t>to view Upwork’s</w:t>
      </w:r>
      <w:r>
        <w:rPr>
          <w:rFonts w:ascii="Arial" w:cs="Arial" w:eastAsia="Arial" w:hAnsi="Arial"/>
          <w:sz w:val="18"/>
          <w:szCs w:val="18"/>
          <w:color w:val="000000"/>
        </w:rPr>
        <w:t xml:space="preserve"> third </w:t>
      </w:r>
      <w:r>
        <w:rPr>
          <w:rFonts w:ascii="Arial" w:cs="Arial" w:eastAsia="Arial" w:hAnsi="Arial"/>
          <w:sz w:val="18"/>
          <w:szCs w:val="18"/>
          <w:color w:val="222222"/>
        </w:rPr>
        <w:t xml:space="preserve">quarter </w:t>
      </w:r>
      <w:r>
        <w:rPr>
          <w:rFonts w:ascii="Arial" w:cs="Arial" w:eastAsia="Arial" w:hAnsi="Arial"/>
          <w:sz w:val="18"/>
          <w:szCs w:val="18"/>
          <w:color w:val="000000"/>
        </w:rPr>
        <w:t>2026</w:t>
      </w:r>
      <w:r>
        <w:rPr>
          <w:rFonts w:ascii="Arial" w:cs="Arial" w:eastAsia="Arial" w:hAnsi="Arial"/>
          <w:sz w:val="18"/>
          <w:szCs w:val="18"/>
          <w:color w:val="222222"/>
        </w:rPr>
        <w:t xml:space="preserve"> earnings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22222"/>
        </w:rPr>
        <w:t>Disclosure Information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We use our Investor Relations website </w:t>
      </w:r>
      <w:r>
        <w:rPr>
          <w:rFonts w:ascii="Arial" w:cs="Arial" w:eastAsia="Arial" w:hAnsi="Arial"/>
          <w:sz w:val="18"/>
          <w:szCs w:val="18"/>
          <w:color w:val="000000"/>
        </w:rPr>
        <w:t>(investors.upwork.com</w:t>
      </w:r>
      <w:r>
        <w:rPr>
          <w:rFonts w:ascii="Arial" w:cs="Arial" w:eastAsia="Arial" w:hAnsi="Arial"/>
          <w:sz w:val="18"/>
          <w:szCs w:val="18"/>
          <w:color w:val="222222"/>
        </w:rPr>
        <w:t>), our Blog (</w:t>
      </w:r>
      <w:r>
        <w:rPr>
          <w:rFonts w:ascii="Arial" w:cs="Arial" w:eastAsia="Arial" w:hAnsi="Arial"/>
          <w:sz w:val="18"/>
          <w:szCs w:val="18"/>
          <w:color w:val="000000"/>
        </w:rPr>
        <w:t>upwork.com/blog</w:t>
      </w:r>
      <w:r>
        <w:rPr>
          <w:rFonts w:ascii="Arial" w:cs="Arial" w:eastAsia="Arial" w:hAnsi="Arial"/>
          <w:sz w:val="18"/>
          <w:szCs w:val="18"/>
          <w:color w:val="222222"/>
        </w:rPr>
        <w:t xml:space="preserve">), our X handle </w:t>
      </w:r>
      <w:r>
        <w:rPr>
          <w:rFonts w:ascii="Arial" w:cs="Arial" w:eastAsia="Arial" w:hAnsi="Arial"/>
          <w:sz w:val="18"/>
          <w:szCs w:val="18"/>
          <w:color w:val="000000"/>
        </w:rPr>
        <w:t>(twitter.com/Upwork),</w:t>
      </w:r>
      <w:r>
        <w:rPr>
          <w:rFonts w:ascii="Arial" w:cs="Arial" w:eastAsia="Arial" w:hAnsi="Arial"/>
          <w:sz w:val="18"/>
          <w:szCs w:val="18"/>
          <w:color w:val="222222"/>
        </w:rPr>
        <w:t xml:space="preserve"> Hayden Brown’s X handl</w:t>
      </w:r>
      <w:r>
        <w:rPr>
          <w:rFonts w:ascii="Arial" w:cs="Arial" w:eastAsia="Arial" w:hAnsi="Arial"/>
          <w:sz w:val="18"/>
          <w:szCs w:val="18"/>
          <w:color w:val="000000"/>
        </w:rPr>
        <w:t>e (twitter.com/hydnbrwn) and LinkedIn profile (linkedin.com/in/haydenlbrown), and Erica Gessert’s LinkedIn profile</w:t>
      </w:r>
      <w:r>
        <w:rPr>
          <w:rFonts w:ascii="Arial" w:cs="Arial" w:eastAsia="Arial" w:hAnsi="Arial"/>
          <w:sz w:val="18"/>
          <w:szCs w:val="18"/>
          <w:color w:val="222222"/>
        </w:rPr>
        <w:t xml:space="preserve"> </w:t>
      </w:r>
      <w:r>
        <w:rPr>
          <w:rFonts w:ascii="Arial" w:cs="Arial" w:eastAsia="Arial" w:hAnsi="Arial"/>
          <w:sz w:val="18"/>
          <w:szCs w:val="18"/>
          <w:color w:val="000000"/>
        </w:rPr>
        <w:t xml:space="preserve">(linkedin.com/in/erica-gessert) as means of disseminating or providing notification of, among other things, news or announcements regarding our business or financial performance, investor events, press releases, and earnings releases, and as means of </w:t>
      </w:r>
      <w:r>
        <w:rPr>
          <w:rFonts w:ascii="Arial" w:cs="Arial" w:eastAsia="Arial" w:hAnsi="Arial"/>
          <w:sz w:val="18"/>
          <w:szCs w:val="18"/>
          <w:color w:val="222222"/>
        </w:rPr>
        <w:t>disclosing material nonpublic</w:t>
      </w:r>
      <w:r>
        <w:rPr>
          <w:rFonts w:ascii="Arial" w:cs="Arial" w:eastAsia="Arial" w:hAnsi="Arial"/>
          <w:sz w:val="18"/>
          <w:szCs w:val="18"/>
          <w:color w:val="000000"/>
        </w:rPr>
        <w:t xml:space="preserve"> </w:t>
      </w:r>
      <w:r>
        <w:rPr>
          <w:rFonts w:ascii="Arial" w:cs="Arial" w:eastAsia="Arial" w:hAnsi="Arial"/>
          <w:sz w:val="18"/>
          <w:szCs w:val="18"/>
          <w:color w:val="222222"/>
        </w:rPr>
        <w:t>information and for complying with our disclosure obligations under Regulation FD.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Upwork</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Upwork Inc.’s (Nasdaq: UPWK) family of companies connects businesses with global, AI-enabled talent across every contingent worker classification. This portfolio includes the Upwork Marketplace, which connects businesses with on-demand access to highly skilled talent across the globe, and Lifted, which provides a purpose-built solution for enterprise organizations to source, contract, manage, and pay talent across the full spectrum of contingent work. From Fortune 100 enterprises to entrepreneurs, businesses rely on Upwork Inc. to find and hire expert talent, leverage AI-powered work solutions, and drive business transformation. With access to professionals spanning more than 10,000 skills across AI &amp; machine learning, software development, sales &amp; marketing, customer support, finance &amp; accounting, and more, the Upwork family of companies enables businesses of all sizes to scale, innovate, and transform their workforces for the age of AI and beyond.</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Since its founding, Upwork Inc. has facilitated more than $30 billion in total transactions and services as it fulfills its purpose to create opportunity in every era of work. Learn more about the Upwork Marketplace at upwork.com and follow on </w:t>
      </w:r>
      <w:r>
        <w:rPr>
          <w:rFonts w:ascii="Arial" w:cs="Arial" w:eastAsia="Arial" w:hAnsi="Arial"/>
          <w:sz w:val="18"/>
          <w:szCs w:val="18"/>
          <w:color w:val="348839"/>
        </w:rPr>
        <w:t>LinkedIn</w:t>
      </w:r>
      <w:r>
        <w:rPr>
          <w:rFonts w:ascii="Arial" w:cs="Arial" w:eastAsia="Arial" w:hAnsi="Arial"/>
          <w:sz w:val="18"/>
          <w:szCs w:val="18"/>
          <w:color w:val="auto"/>
        </w:rPr>
        <w:t xml:space="preserve">, </w:t>
      </w:r>
      <w:r>
        <w:rPr>
          <w:rFonts w:ascii="Arial" w:cs="Arial" w:eastAsia="Arial" w:hAnsi="Arial"/>
          <w:sz w:val="18"/>
          <w:szCs w:val="18"/>
          <w:color w:val="348839"/>
        </w:rPr>
        <w:t>Facebook</w:t>
      </w:r>
      <w:r>
        <w:rPr>
          <w:rFonts w:ascii="Arial" w:cs="Arial" w:eastAsia="Arial" w:hAnsi="Arial"/>
          <w:sz w:val="18"/>
          <w:szCs w:val="18"/>
          <w:color w:val="auto"/>
        </w:rPr>
        <w:t xml:space="preserve">, </w:t>
      </w:r>
      <w:r>
        <w:rPr>
          <w:rFonts w:ascii="Arial" w:cs="Arial" w:eastAsia="Arial" w:hAnsi="Arial"/>
          <w:sz w:val="18"/>
          <w:szCs w:val="18"/>
          <w:color w:val="348839"/>
        </w:rPr>
        <w:t>Instagram</w:t>
      </w:r>
      <w:r>
        <w:rPr>
          <w:rFonts w:ascii="Arial" w:cs="Arial" w:eastAsia="Arial" w:hAnsi="Arial"/>
          <w:sz w:val="18"/>
          <w:szCs w:val="18"/>
          <w:color w:val="auto"/>
        </w:rPr>
        <w:t xml:space="preserve">, TikTok, and </w:t>
      </w:r>
      <w:r>
        <w:rPr>
          <w:rFonts w:ascii="Arial" w:cs="Arial" w:eastAsia="Arial" w:hAnsi="Arial"/>
          <w:sz w:val="18"/>
          <w:szCs w:val="18"/>
          <w:color w:val="348839"/>
        </w:rPr>
        <w:t>X</w:t>
      </w:r>
      <w:r>
        <w:rPr>
          <w:rFonts w:ascii="Arial" w:cs="Arial" w:eastAsia="Arial" w:hAnsi="Arial"/>
          <w:sz w:val="18"/>
          <w:szCs w:val="18"/>
          <w:color w:val="auto"/>
        </w:rPr>
        <w:t>; and learn more about Lifted at go-lifted.com and follow on LinkedIn.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investor@upwork.com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press release of Upwork Inc. (together with its wholly owned subsidiaries, the “Company,” “we,” “us,” or “our”) contains “forward-looking” statements within the meaning of the federal securities laws. Forward-looking statements include all statements other than statements of historical fact, including any statements regarding our future operating results and financial position, including expected financial results for</w:t>
      </w:r>
    </w:p>
    <w:p>
      <w:pPr>
        <w:sectPr>
          <w:pgSz w:w="11900" w:h="16877" w:orient="portrait"/>
          <w:cols w:equalWidth="0" w:num="1">
            <w:col w:w="11240"/>
          </w:cols>
          <w:pgMar w:left="320" w:top="890" w:right="339" w:bottom="0" w:gutter="0" w:footer="0" w:header="0"/>
        </w:sectPr>
      </w:pPr>
    </w:p>
    <w:bookmarkStart w:id="6" w:name="page7"/>
    <w:bookmarkEnd w:id="6"/>
    <w:p>
      <w:pPr>
        <w:jc w:val="both"/>
        <w:spacing w:after="0" w:line="254" w:lineRule="auto"/>
        <w:rPr>
          <w:sz w:val="20"/>
          <w:szCs w:val="20"/>
          <w:color w:val="auto"/>
        </w:rPr>
      </w:pPr>
      <w:r>
        <w:rPr>
          <w:rFonts w:ascii="Arial" w:cs="Arial" w:eastAsia="Arial" w:hAnsi="Arial"/>
          <w:sz w:val="18"/>
          <w:szCs w:val="18"/>
          <w:color w:val="auto"/>
        </w:rPr>
        <w:t>the fourth quarter and full year 2026, information or predictions concerning the future of our business or strategy, future market opportunity and market size, future products, features, or functionality, including our MCP server and other AI-enabled offerings, anticipated events and trends, potential growth or growth prospects, competitive position, technological and market trends, industry environment, the economy, our plans with respect to share repurchases, the expected impact and timing of strategic initiatives, including the acquisition of WorkMotion Software GmbH by a subsidiary of the Company, or cost-saving initiatives, and other future conditions.</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as of the date hereof about future events and trends that we believe may affect our financial condition, results of operations, business strategy, short- and long-term business operations and objectives, and financial needs. As such, they are subject to inherent uncertainties, known and unknown risks, and changes in circumstances that are difficult to predict and in many cases outside our control, and you should not place undue reliance on such forward-looking statements. Moreover, we operate in a very competitive and rapidly changing environment, and new risks emerge from time to time. We make no representation that the plans, intentions, expectations, or results disclosed in these forward-looking statements will be achieved or that future events and circumstances will occur, and actual results or events may differ materially and adversely from our expectations. The forward-looking statements are made as of</w:t>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8"/>
          <w:szCs w:val="18"/>
          <w:color w:val="auto"/>
        </w:rPr>
        <w:t>the date hereof, and we do not undertake, and expressly disclaim, any obligation to update or revise any forward-looking statements, conform these statements to actual results, or make changes in our expectations, except as required by law. Additional information regarding the risks and uncertainties that could cause actual results to differ materially from our expectations is included under the caption “Risk Factors” in our Quarterly Report on Form 10-Q for the three months ended June 30, 2026, filed with the SEC on August 10, 2026, and in our other SEC filings, which are available on our Investor Relations website at investors.upwork.com and on the SEC’s website at www.sec.gov. Additional information will also be set forth under the caption “Risk Factors” in our Quarterly Report on Form 10-Q for the three months ended September 30, 2026, when filed.</w:t>
      </w:r>
    </w:p>
    <w:p>
      <w:pPr>
        <w:spacing w:after="0" w:line="72"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Upwork, Lifted, Uma</w:t>
      </w:r>
      <w:r>
        <w:rPr>
          <w:rFonts w:ascii="Arial" w:cs="Arial" w:eastAsia="Arial" w:hAnsi="Arial"/>
          <w:sz w:val="23"/>
          <w:szCs w:val="23"/>
          <w:color w:val="auto"/>
          <w:vertAlign w:val="superscript"/>
        </w:rPr>
        <w:t>TM</w:t>
      </w:r>
      <w:r>
        <w:rPr>
          <w:rFonts w:ascii="Arial" w:cs="Arial" w:eastAsia="Arial" w:hAnsi="Arial"/>
          <w:sz w:val="18"/>
          <w:szCs w:val="18"/>
          <w:color w:val="auto"/>
        </w:rPr>
        <w:t>, and other registered or common law trade names, trademarks, or service marks of Upwork appearing in this press release are the property of Upwork. This press release may also contain additional trade names, trademarks, and service marks of other companies, including names and brands. All third-party trademarks are property of their respective owners, and any references to third-party trademarks are for identification purposes only and shall be considered nominative fair use under trademark law.</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7"/>
                <w:szCs w:val="17"/>
                <w:color w:val="auto"/>
              </w:rPr>
            </w:pPr>
          </w:p>
        </w:tc>
        <w:tc>
          <w:tcPr>
            <w:tcW w:w="23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21"/>
                <w:szCs w:val="21"/>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5940" w:type="dxa"/>
            <w:vAlign w:val="bottom"/>
          </w:tcPr>
          <w:p>
            <w:pPr>
              <w:ind w:left="140"/>
              <w:spacing w:after="0"/>
              <w:rPr>
                <w:sz w:val="20"/>
                <w:szCs w:val="20"/>
                <w:color w:val="auto"/>
              </w:rPr>
            </w:pPr>
            <w:r>
              <w:rPr>
                <w:rFonts w:ascii="Arial" w:cs="Arial" w:eastAsia="Arial" w:hAnsi="Arial"/>
                <w:sz w:val="18"/>
                <w:szCs w:val="18"/>
                <w:color w:val="auto"/>
              </w:rPr>
              <w:t>Marketplace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159,321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174,572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496,884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511,525</w:t>
            </w:r>
          </w:p>
        </w:tc>
      </w:tr>
      <w:tr>
        <w:trPr>
          <w:trHeight w:val="243"/>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Enterprise</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77,850</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185,599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572,742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589,375</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131,081</w:t>
            </w:r>
          </w:p>
        </w:tc>
      </w:tr>
      <w:tr>
        <w:trPr>
          <w:trHeight w:val="237"/>
        </w:trPr>
        <w:tc>
          <w:tcPr>
            <w:tcW w:w="59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155,887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438,509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458,294</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138,489</w:t>
            </w:r>
          </w:p>
        </w:tc>
      </w:tr>
      <w:tr>
        <w:trPr>
          <w:trHeight w:val="243"/>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107,407</w:t>
            </w:r>
          </w:p>
        </w:tc>
      </w:tr>
      <w:tr>
        <w:trPr>
          <w:trHeight w:val="243"/>
        </w:trPr>
        <w:tc>
          <w:tcPr>
            <w:tcW w:w="59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104,964</w:t>
            </w:r>
          </w:p>
        </w:tc>
      </w:tr>
      <w:tr>
        <w:trPr>
          <w:trHeight w:val="243"/>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transaction losses</w:t>
            </w: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6,421</w:t>
            </w:r>
          </w:p>
        </w:tc>
      </w:tr>
      <w:tr>
        <w:trPr>
          <w:trHeight w:val="237"/>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106,702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126,129</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343,061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357,281</w:t>
            </w:r>
          </w:p>
        </w:tc>
      </w:tr>
      <w:tr>
        <w:trPr>
          <w:trHeight w:val="23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101,013</w:t>
            </w:r>
          </w:p>
        </w:tc>
      </w:tr>
      <w:tr>
        <w:trPr>
          <w:trHeight w:val="24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18,112</w:t>
            </w:r>
          </w:p>
        </w:tc>
      </w:tr>
      <w:tr>
        <w:trPr>
          <w:trHeight w:val="23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119,125</w:t>
            </w:r>
          </w:p>
        </w:tc>
      </w:tr>
      <w:tr>
        <w:trPr>
          <w:trHeight w:val="24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(19,334)</w:t>
            </w:r>
          </w:p>
        </w:tc>
      </w:tr>
      <w:tr>
        <w:trPr>
          <w:trHeight w:val="26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70"/>
        </w:trPr>
        <w:tc>
          <w:tcPr>
            <w:tcW w:w="5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income per share:</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131,987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133,114</w:t>
            </w: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140,910</w:t>
            </w:r>
          </w:p>
        </w:tc>
      </w:tr>
    </w:tbl>
    <w:p>
      <w:pPr>
        <w:sectPr>
          <w:pgSz w:w="11900" w:h="16838" w:orient="portrait"/>
          <w:cols w:equalWidth="0" w:num="1">
            <w:col w:w="11240"/>
          </w:cols>
          <w:pgMar w:left="320" w:top="890"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2026</w:t>
            </w:r>
          </w:p>
        </w:tc>
        <w:tc>
          <w:tcPr>
            <w:tcW w:w="16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294,356</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76,346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378,425</w:t>
            </w: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Funds held in escrow, including funds in transit</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164,606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180,752</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Trade and client receivables, net</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79,315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76,236</w:t>
            </w: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19,651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w:t>
            </w:r>
          </w:p>
        </w:tc>
      </w:tr>
      <w:tr>
        <w:trPr>
          <w:trHeight w:val="236"/>
        </w:trPr>
        <w:tc>
          <w:tcPr>
            <w:tcW w:w="68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567,904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950,833</w:t>
            </w: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44,421</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149,192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149,192</w:t>
            </w: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37,161</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Operating lease asset</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5,011</w:t>
            </w: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111,495</w:t>
            </w:r>
          </w:p>
        </w:tc>
      </w:tr>
      <w:tr>
        <w:trPr>
          <w:trHeight w:val="24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noncurrent</w:t>
            </w: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r>
      <w:tr>
        <w:trPr>
          <w:trHeight w:val="26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931,097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1,299,580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Escrow funds payable</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164,606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180,752</w:t>
            </w: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current</w:t>
            </w:r>
          </w:p>
        </w:tc>
        <w:tc>
          <w:tcPr>
            <w:tcW w:w="16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359,770</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69,725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94,023</w:t>
            </w: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8,620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r>
      <w:tr>
        <w:trPr>
          <w:trHeight w:val="237"/>
        </w:trPr>
        <w:tc>
          <w:tcPr>
            <w:tcW w:w="68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252,287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650,168</w:t>
            </w: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noncurrent</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9,707</w:t>
            </w:r>
          </w:p>
        </w:tc>
      </w:tr>
      <w:tr>
        <w:trPr>
          <w:trHeight w:val="24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 noncurrent</w:t>
            </w: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r>
      <w:tr>
        <w:trPr>
          <w:trHeight w:val="237"/>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277,072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669,265</w:t>
            </w:r>
          </w:p>
        </w:tc>
      </w:tr>
      <w:tr>
        <w:trPr>
          <w:trHeight w:val="250"/>
        </w:trPr>
        <w:tc>
          <w:tcPr>
            <w:tcW w:w="6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528,633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592,599</w:t>
            </w:r>
          </w:p>
        </w:tc>
      </w:tr>
      <w:tr>
        <w:trPr>
          <w:trHeight w:val="243"/>
        </w:trPr>
        <w:tc>
          <w:tcPr>
            <w:tcW w:w="6860" w:type="dxa"/>
            <w:vAlign w:val="bottom"/>
          </w:tcPr>
          <w:p>
            <w:pPr>
              <w:ind w:left="120"/>
              <w:spacing w:after="0"/>
              <w:rPr>
                <w:sz w:val="20"/>
                <w:szCs w:val="20"/>
                <w:color w:val="auto"/>
              </w:rPr>
            </w:pPr>
            <w:r>
              <w:rPr>
                <w:rFonts w:ascii="Arial" w:cs="Arial" w:eastAsia="Arial" w:hAnsi="Arial"/>
                <w:sz w:val="18"/>
                <w:szCs w:val="18"/>
                <w:color w:val="auto"/>
              </w:rPr>
              <w:t>Accumulated other comprehensive (loss) income</w:t>
            </w:r>
          </w:p>
        </w:tc>
        <w:tc>
          <w:tcPr>
            <w:tcW w:w="1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4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125,624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36,949</w:t>
            </w:r>
          </w:p>
        </w:tc>
      </w:tr>
      <w:tr>
        <w:trPr>
          <w:trHeight w:val="264"/>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654,025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630,315</w:t>
            </w:r>
          </w:p>
        </w:tc>
      </w:tr>
      <w:tr>
        <w:trPr>
          <w:trHeight w:val="261"/>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931,097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1,299,580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400" w:top="890" w:right="399" w:bottom="1440" w:gutter="0" w:footer="0" w:header="0"/>
        </w:sectPr>
      </w:pPr>
    </w:p>
    <w:bookmarkStart w:id="10" w:name="page11"/>
    <w:bookmarkEnd w:id="10"/>
    <w:p>
      <w:pPr>
        <w:ind w:left="5140"/>
        <w:spacing w:after="0"/>
        <w:rPr>
          <w:sz w:val="20"/>
          <w:szCs w:val="20"/>
          <w:color w:val="auto"/>
        </w:rPr>
      </w:pPr>
      <w:r>
        <w:rPr>
          <w:rFonts w:ascii="Arial" w:cs="Arial" w:eastAsia="Arial" w:hAnsi="Arial"/>
          <w:sz w:val="14"/>
          <w:szCs w:val="14"/>
          <w:b w:val="1"/>
          <w:bCs w:val="1"/>
          <w:color w:val="auto"/>
        </w:rPr>
        <w:t>UPWORK INC.</w:t>
      </w:r>
    </w:p>
    <w:p>
      <w:pPr>
        <w:spacing w:after="0" w:line="29" w:lineRule="exact"/>
        <w:rPr>
          <w:sz w:val="20"/>
          <w:szCs w:val="20"/>
          <w:color w:val="auto"/>
        </w:rPr>
      </w:pPr>
    </w:p>
    <w:p>
      <w:pPr>
        <w:ind w:left="34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w:t>
            </w:r>
          </w:p>
        </w:tc>
        <w:tc>
          <w:tcPr>
            <w:tcW w:w="24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5"/>
        </w:trPr>
        <w:tc>
          <w:tcPr>
            <w:tcW w:w="6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31,810</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29,335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88,675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99,791</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Provision for transaction losses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5,707</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18,686</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1,381</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Accretion of discount on purchases of marketable securities,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(5,699)</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Amortization of operating lease asset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Tides Foundation common stock warrant expense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48,038</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Loss on disposal of fixed assets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40" w:type="dxa"/>
            <w:vAlign w:val="bottom"/>
          </w:tcPr>
          <w:p>
            <w:pPr>
              <w:ind w:left="480"/>
              <w:spacing w:after="0"/>
              <w:rPr>
                <w:sz w:val="20"/>
                <w:szCs w:val="20"/>
                <w:color w:val="auto"/>
              </w:rPr>
            </w:pPr>
            <w:r>
              <w:rPr>
                <w:rFonts w:ascii="Arial" w:cs="Arial" w:eastAsia="Arial" w:hAnsi="Arial"/>
                <w:sz w:val="14"/>
                <w:szCs w:val="14"/>
                <w:color w:val="auto"/>
              </w:rPr>
              <w:t>Trade and client receivables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12"/>
        </w:trPr>
        <w:tc>
          <w:tcPr>
            <w:tcW w:w="6240" w:type="dxa"/>
            <w:vAlign w:val="bottom"/>
          </w:tcPr>
          <w:p>
            <w:pPr>
              <w:ind w:left="480"/>
              <w:spacing w:after="0"/>
              <w:rPr>
                <w:sz w:val="20"/>
                <w:szCs w:val="20"/>
                <w:color w:val="auto"/>
              </w:rPr>
            </w:pPr>
            <w:r>
              <w:rPr>
                <w:rFonts w:ascii="Arial" w:cs="Arial" w:eastAsia="Arial" w:hAnsi="Arial"/>
                <w:sz w:val="14"/>
                <w:szCs w:val="14"/>
                <w:color w:val="auto"/>
              </w:rPr>
              <w:t>Operating lease liability</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12"/>
        </w:trPr>
        <w:tc>
          <w:tcPr>
            <w:tcW w:w="6240" w:type="dxa"/>
            <w:vAlign w:val="bottom"/>
          </w:tcPr>
          <w:p>
            <w:pPr>
              <w:ind w:left="48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16,777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75,079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135,840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184,558</w:t>
            </w: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Purchases of marketable securities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(106,791)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(365,939)</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maturities of marketable securities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302,725</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Proceeds from sale of marketable securities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3,601</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equity investment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Acquisition of business, net of cash acquired</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(39,436)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(59,846)</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(5,335)</w:t>
            </w:r>
          </w:p>
        </w:tc>
        <w:tc>
          <w:tcPr>
            <w:tcW w:w="0" w:type="dxa"/>
            <w:vAlign w:val="bottom"/>
          </w:tcPr>
          <w:p>
            <w:pPr>
              <w:spacing w:after="0"/>
              <w:rPr>
                <w:sz w:val="1"/>
                <w:szCs w:val="1"/>
                <w:color w:val="auto"/>
              </w:rPr>
            </w:pPr>
          </w:p>
        </w:tc>
      </w:tr>
      <w:tr>
        <w:trPr>
          <w:trHeight w:val="212"/>
        </w:trPr>
        <w:tc>
          <w:tcPr>
            <w:tcW w:w="62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Internal-use software and platform development costs</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(13,376)</w:t>
            </w:r>
          </w:p>
        </w:tc>
        <w:tc>
          <w:tcPr>
            <w:tcW w:w="0" w:type="dxa"/>
            <w:vAlign w:val="bottom"/>
          </w:tcPr>
          <w:p>
            <w:pPr>
              <w:spacing w:after="0"/>
              <w:rPr>
                <w:sz w:val="1"/>
                <w:szCs w:val="1"/>
                <w:color w:val="auto"/>
              </w:rPr>
            </w:pPr>
          </w:p>
        </w:tc>
      </w:tr>
      <w:tr>
        <w:trPr>
          <w:trHeight w:val="214"/>
        </w:trPr>
        <w:tc>
          <w:tcPr>
            <w:tcW w:w="62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(138,170)</w:t>
            </w:r>
          </w:p>
        </w:tc>
        <w:tc>
          <w:tcPr>
            <w:tcW w:w="0" w:type="dxa"/>
            <w:vAlign w:val="bottom"/>
          </w:tcPr>
          <w:p>
            <w:pPr>
              <w:spacing w:after="0"/>
              <w:rPr>
                <w:sz w:val="1"/>
                <w:szCs w:val="1"/>
                <w:color w:val="auto"/>
              </w:rPr>
            </w:pPr>
          </w:p>
        </w:tc>
      </w:tr>
      <w:tr>
        <w:trPr>
          <w:trHeight w:val="192"/>
        </w:trPr>
        <w:tc>
          <w:tcPr>
            <w:tcW w:w="6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escrow funds payable, net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23,025</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Proceeds from exercises of stock options and common stock warrants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employee stock purchase plan</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Repayment of convertible senior notes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(360,998)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(360,998)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6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(101,923)</w:t>
            </w:r>
          </w:p>
        </w:tc>
        <w:tc>
          <w:tcPr>
            <w:tcW w:w="0" w:type="dxa"/>
            <w:vAlign w:val="bottom"/>
          </w:tcPr>
          <w:p>
            <w:pPr>
              <w:spacing w:after="0"/>
              <w:rPr>
                <w:sz w:val="1"/>
                <w:szCs w:val="1"/>
                <w:color w:val="auto"/>
              </w:rPr>
            </w:pPr>
          </w:p>
        </w:tc>
      </w:tr>
      <w:tr>
        <w:trPr>
          <w:trHeight w:val="212"/>
        </w:trPr>
        <w:tc>
          <w:tcPr>
            <w:tcW w:w="6240" w:type="dxa"/>
            <w:vAlign w:val="bottom"/>
          </w:tcPr>
          <w:p>
            <w:pPr>
              <w:ind w:left="220"/>
              <w:spacing w:after="0"/>
              <w:rPr>
                <w:sz w:val="20"/>
                <w:szCs w:val="20"/>
                <w:color w:val="auto"/>
              </w:rPr>
            </w:pPr>
            <w:r>
              <w:rPr>
                <w:rFonts w:ascii="Arial" w:cs="Arial" w:eastAsia="Arial" w:hAnsi="Arial"/>
                <w:sz w:val="14"/>
                <w:szCs w:val="14"/>
                <w:color w:val="auto"/>
              </w:rPr>
              <w:t>Payment of debt issuance costs</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(392,211)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(24,474)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(489,060)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(75,970)</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(276,717)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(30,892)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(29,582)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673,109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506,903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505,593</w:t>
            </w: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396,392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476,011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396,392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476,011</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reconciles cash, cash equivalents, and restricted cash as reported in the condensed consolidated balance sheets to the total of the same amounts shown in the condensed consolidated statements of cash flows as of the following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2026</w:t>
            </w:r>
          </w:p>
        </w:tc>
        <w:tc>
          <w:tcPr>
            <w:tcW w:w="16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36"/>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227,986</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294,356</w:t>
            </w: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3"/>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 including funds in transit</w:t>
            </w: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180,752</w:t>
            </w:r>
          </w:p>
        </w:tc>
        <w:tc>
          <w:tcPr>
            <w:tcW w:w="0" w:type="dxa"/>
            <w:vAlign w:val="bottom"/>
          </w:tcPr>
          <w:p>
            <w:pPr>
              <w:spacing w:after="0"/>
              <w:rPr>
                <w:sz w:val="1"/>
                <w:szCs w:val="1"/>
                <w:color w:val="auto"/>
              </w:rPr>
            </w:pPr>
          </w:p>
        </w:tc>
      </w:tr>
      <w:tr>
        <w:trPr>
          <w:trHeight w:val="169"/>
        </w:trPr>
        <w:tc>
          <w:tcPr>
            <w:tcW w:w="7000" w:type="dxa"/>
            <w:vAlign w:val="bottom"/>
          </w:tcPr>
          <w:p>
            <w:pPr>
              <w:ind w:left="20"/>
              <w:spacing w:after="0" w:line="169" w:lineRule="exact"/>
              <w:rPr>
                <w:sz w:val="20"/>
                <w:szCs w:val="20"/>
                <w:color w:val="auto"/>
              </w:rPr>
            </w:pPr>
            <w:r>
              <w:rPr>
                <w:rFonts w:ascii="Arial" w:cs="Arial" w:eastAsia="Arial" w:hAnsi="Arial"/>
                <w:sz w:val="18"/>
                <w:szCs w:val="18"/>
                <w:color w:val="auto"/>
              </w:rPr>
              <w:t>Total cash, cash equivalents, and restricted cash as shown in the condensed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396,392</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478,908</w:t>
            </w:r>
          </w:p>
        </w:tc>
        <w:tc>
          <w:tcPr>
            <w:tcW w:w="0" w:type="dxa"/>
            <w:vAlign w:val="bottom"/>
          </w:tcPr>
          <w:p>
            <w:pPr>
              <w:spacing w:after="0"/>
              <w:rPr>
                <w:sz w:val="1"/>
                <w:szCs w:val="1"/>
                <w:color w:val="auto"/>
              </w:rPr>
            </w:pPr>
          </w:p>
        </w:tc>
      </w:tr>
      <w:tr>
        <w:trPr>
          <w:trHeight w:val="221"/>
        </w:trPr>
        <w:tc>
          <w:tcPr>
            <w:tcW w:w="7000" w:type="dxa"/>
            <w:vAlign w:val="bottom"/>
          </w:tcPr>
          <w:p>
            <w:pPr>
              <w:ind w:left="20"/>
              <w:spacing w:after="0"/>
              <w:rPr>
                <w:sz w:val="20"/>
                <w:szCs w:val="20"/>
                <w:color w:val="auto"/>
              </w:rPr>
            </w:pPr>
            <w:r>
              <w:rPr>
                <w:rFonts w:ascii="Arial" w:cs="Arial" w:eastAsia="Arial" w:hAnsi="Arial"/>
                <w:sz w:val="18"/>
                <w:szCs w:val="18"/>
                <w:color w:val="auto"/>
              </w:rPr>
              <w:t>consolidated statement of cash flows</w:t>
            </w:r>
          </w:p>
        </w:tc>
        <w:tc>
          <w:tcPr>
            <w:tcW w:w="16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To supplement our condensed consolidated financial statements, which are prepared in accordance with accounting principles generally accepted in the United States (“GAAP”), we present certain non-GAAP financial measures in this press release, including adjusted EBITDA, adjusted EBITDA margin, free cash flow, and non-GAAP diluted EPS.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define adjusted EBITDA as net income adjusted for stock-based compensation expense; depreciation and amortization; other income (expense), net, which includes interest expense; income tax benefit (provision); and, if applicable, certain other gains, losses, benefits, or charges that are non-cash or are significant and the result of isolated events or transactions that have not occurred frequently in the past and are not expected to occur regularly in the future. Free cash flow is defined as cash provided by operations less purchases of property, plant and equipment and cash outflows from internally developed software.</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non-GAAP financial measures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These non-GAAP financial measures provide consistency and comparability with past financial performance, facilitate period-to-period comparisons of our core operating results, and also facilitate comparisons with other peer companies, many of which use similar non-GAAP financial measures to supplement their GAAP results. In addition, adjusted EBITDA is widely used by investors and securities analysts to measure a company’s operating performance without regard to certain items that can vary substantially from company to company, and free cash flow allows investors to evaluate the cash generated from our underlying operations across periods.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Investors are cautioned that there are material limitations associated with the use of non-GAAP financial measures as analytical tools, and investors should not consider them in isolation or as a substitute for the most directly comparable financial measures prepared in accordance with GAAP. In particular, (1) adjusted EBITDA and certain of our other non-GAAP financial measures exclude stock-based compensation expense, which has recently been, and will continue to be for the foreseeable future, a significant recurring expense for our business and an important part of our compensation strategy, (2) although depreciation and amortization expense are non-cash charges, the assets subject to depreciation and amortization may have to be replaced in the future, and adjusted EBITDA and certain of our other non-GAAP financial measures do not reflect cash capital expenditure requirements for such replacements or for new capital expenditure requirements, and (3) adjusted EBITDA does not reflect: (a) changes in, or cash requirements for, our working capital needs; (b) interest expense, or the cash requirements necessary to service interest or principal payments on our debt, which reduces cash available to us; (c) tax payments that may represent a reduction in cash available to us; or (d) material acquisition-related deal costs. In addition, the utility of free cash flow as a measure of our liquidity is limited as it does not represent the total increase or decrease in our cash balance for a given period. Moreover, the non-GAAP financial measures we use may be different from non-GAAP financial measures used by other companies, including companies in our industry, limiting their usefulness for comparison purposes. We compensate for these limitations by providing specific information regarding the GAAP items excluded from the non-GAAP financial measures that we present. Reconciliations of the non-GAAP financial measures presented in this press release to their most directly comparable GAAP financial measures have been provided below, and investors are encouraged to review the reconciliations and not rely on any single financial measure to evaluate our business.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not reconciled our adjusted EBITDA guidance to GAAP net income or non-GAAP diluted EPS guidance to GAAP diluted EPS because certain items that impact GAAP net income and GAAP diluted EPS are uncertain or out of our control and cannot be reasonably predicted. In particular, stock-based compensation expense is impacted by the future fair market value of our common stock and other factors, all of which are difficult to predict, subject to frequent change, or not within our control. The actual amount of these expenses during the fourth quarter of 2026 and fiscal year 2026 will have a significant impact on our future GAAP financial results. Accordingly, a reconciliation of adjusted EBITDA guidance to GAAP net income and non-GAAP diluted EPS guidance to GAAP diluted EPS is not available without unreasonable effort.</w:t>
      </w:r>
    </w:p>
    <w:p>
      <w:pPr>
        <w:sectPr>
          <w:pgSz w:w="11900" w:h="16838" w:orient="portrait"/>
          <w:cols w:equalWidth="0" w:num="1">
            <w:col w:w="11240"/>
          </w:cols>
          <w:pgMar w:left="320" w:top="890"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percentages and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33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31,810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88,675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99,791</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9,173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19,789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38,717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48,038</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11,353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7,946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29,232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18,686</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Other income, net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(3,951)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(12,909)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(18,112)</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6,734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19,682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19,334</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 xml:space="preserve"> (1)(2)(3)(4)</w:t>
            </w:r>
          </w:p>
        </w:tc>
        <w:tc>
          <w:tcPr>
            <w:tcW w:w="1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8,670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21,871</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63,789</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59,627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185,268</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172,699</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 margin</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Cost of revenue, 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44,304</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45,843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134,233</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131,081</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 Non-GAAP</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44,229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45,650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5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133,638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130,501</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 GAAP</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23 %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22 %</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 Non-GAAP</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141,295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155,887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438,509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458,294</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color w:val="auto"/>
              </w:rPr>
              <w:t>Gross profit, Non-GAAP</w:t>
            </w:r>
          </w:p>
        </w:tc>
        <w:tc>
          <w:tcPr>
            <w:tcW w:w="1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141,370</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156,080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439,104</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458,874</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Gross margin, GAAP</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77 %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77 %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78 %</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Gross margin, Non-GAAP</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76 %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77 %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78 %</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 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34,889</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47,494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122,090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138,489</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(2,598)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(10,269)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(17,528)</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Intangible amortization</w:t>
            </w:r>
          </w:p>
        </w:tc>
        <w:tc>
          <w:tcPr>
            <w:tcW w:w="1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(2,930)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(8,772)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(8,909)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color w:val="auto"/>
              </w:rPr>
              <w:t>Research and development, Non-GAAP</w:t>
            </w:r>
          </w:p>
        </w:tc>
        <w:tc>
          <w:tcPr>
            <w:tcW w:w="1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26,919</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38,326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94,140</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115,264</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 GAAP</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 Non-GAAP</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15 %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Sales and marketing, 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33,832</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34,985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106,183</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Intangible amortization</w:t>
            </w:r>
          </w:p>
        </w:tc>
        <w:tc>
          <w:tcPr>
            <w:tcW w:w="18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(3,439)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00" w:type="dxa"/>
            <w:vAlign w:val="bottom"/>
          </w:tcPr>
          <w:p>
            <w:pPr>
              <w:ind w:left="20"/>
              <w:spacing w:after="0"/>
              <w:rPr>
                <w:sz w:val="20"/>
                <w:szCs w:val="20"/>
                <w:color w:val="auto"/>
              </w:rPr>
            </w:pPr>
            <w:r>
              <w:rPr>
                <w:rFonts w:ascii="Arial" w:cs="Arial" w:eastAsia="Arial" w:hAnsi="Arial"/>
                <w:sz w:val="18"/>
                <w:szCs w:val="18"/>
                <w:color w:val="auto"/>
              </w:rPr>
              <w:t>Sales and marketing, Non-GAAP</w:t>
            </w:r>
          </w:p>
        </w:tc>
        <w:tc>
          <w:tcPr>
            <w:tcW w:w="1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32,571</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32,967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99,044</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101,381</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 GAAP</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18 %</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As a percentage of total revenue, Non-GAAP</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General and administrative, GAAP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36,805</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41,257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108,841</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104,964</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(5,542)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(24,424)</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 xml:space="preserve"> (1)(2)(3)(4)</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(7,567)</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(10,893)</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6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Non-GAAP</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23,696</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27,243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73,524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74,862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 GAAP</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20 %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18 %</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 Non-GAAP</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106,702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126,129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343,061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357,281</w:t>
            </w:r>
          </w:p>
        </w:tc>
        <w:tc>
          <w:tcPr>
            <w:tcW w:w="0" w:type="dxa"/>
            <w:vAlign w:val="bottom"/>
          </w:tcPr>
          <w:p>
            <w:pPr>
              <w:spacing w:after="0"/>
              <w:rPr>
                <w:sz w:val="1"/>
                <w:szCs w:val="1"/>
                <w:color w:val="auto"/>
              </w:rPr>
            </w:pP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1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(9,099)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(19,596)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(38,393)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(47,458)</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(8,772)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 xml:space="preserve"> (1)(2)(3)(4)</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(10,311)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(23,241)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6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 Non-GAAP</w:t>
            </w:r>
          </w:p>
        </w:tc>
        <w:tc>
          <w:tcPr>
            <w:tcW w:w="1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84,362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100,929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272,655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297,928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As a percentage of total revenue, GAAP</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57 %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61 %</w:t>
            </w:r>
          </w:p>
        </w:tc>
        <w:tc>
          <w:tcPr>
            <w:tcW w:w="0" w:type="dxa"/>
            <w:vAlign w:val="bottom"/>
          </w:tcPr>
          <w:p>
            <w:pPr>
              <w:spacing w:after="0"/>
              <w:rPr>
                <w:sz w:val="1"/>
                <w:szCs w:val="1"/>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percentage of total revenue, Non-GAAP</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51 %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 GAAP</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34,593</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29,758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95,448</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101,013</w:t>
            </w: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52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9,173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38,717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48,038</w:t>
            </w: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8,772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6,933</w:t>
            </w:r>
          </w:p>
        </w:tc>
      </w:tr>
      <w:tr>
        <w:trPr>
          <w:trHeight w:val="243"/>
        </w:trPr>
        <w:tc>
          <w:tcPr>
            <w:tcW w:w="410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 xml:space="preserve"> (1)(2)(3)(4)</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10,312</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23,690</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4,962</w:t>
            </w:r>
          </w:p>
        </w:tc>
      </w:tr>
      <w:tr>
        <w:trPr>
          <w:trHeight w:val="262"/>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 Non-GAAP</w:t>
            </w:r>
          </w:p>
        </w:tc>
        <w:tc>
          <w:tcPr>
            <w:tcW w:w="5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57,008</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55,151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166,627</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160,946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GAAP</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31,810</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29,335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88,675</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99,791</w:t>
            </w:r>
          </w:p>
        </w:tc>
      </w:tr>
      <w:tr>
        <w:trPr>
          <w:trHeight w:val="243"/>
        </w:trPr>
        <w:tc>
          <w:tcPr>
            <w:tcW w:w="4100" w:type="dxa"/>
            <w:vAlign w:val="bottom"/>
          </w:tcPr>
          <w:p>
            <w:pPr>
              <w:ind w:left="140"/>
              <w:spacing w:after="0" w:line="243"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(1)</w:t>
            </w:r>
          </w:p>
        </w:tc>
        <w:tc>
          <w:tcPr>
            <w:tcW w:w="52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9,173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38,717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48,038</w:t>
            </w: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8,772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6,933</w:t>
            </w: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Tax effect of non-GAAP adjustments</w:t>
            </w:r>
          </w:p>
        </w:tc>
        <w:tc>
          <w:tcPr>
            <w:tcW w:w="52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(2,959)</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(8,864)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(13,613)</w:t>
            </w:r>
          </w:p>
        </w:tc>
      </w:tr>
      <w:tr>
        <w:trPr>
          <w:trHeight w:val="243"/>
        </w:trPr>
        <w:tc>
          <w:tcPr>
            <w:tcW w:w="4100" w:type="dxa"/>
            <w:vAlign w:val="bottom"/>
            <w:shd w:val="clear" w:color="auto" w:fill="CCEEFF"/>
          </w:tcPr>
          <w:p>
            <w:pPr>
              <w:ind w:left="140"/>
              <w:spacing w:after="0" w:line="243"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 xml:space="preserve"> (1)(2)(3)(4)</w:t>
            </w:r>
          </w:p>
        </w:tc>
        <w:tc>
          <w:tcPr>
            <w:tcW w:w="5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10,312</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23,690</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4,962</w:t>
            </w: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Net income, Non-GAAP</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51,266</w:t>
            </w: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49,831</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150,990</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146,111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4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6780" w:type="dxa"/>
            <w:vAlign w:val="bottom"/>
            <w:gridSpan w:val="5"/>
          </w:tcPr>
          <w:p>
            <w:pPr>
              <w:ind w:left="20"/>
              <w:spacing w:after="0"/>
              <w:rPr>
                <w:sz w:val="20"/>
                <w:szCs w:val="20"/>
                <w:color w:val="auto"/>
              </w:rPr>
            </w:pPr>
            <w:r>
              <w:rPr>
                <w:rFonts w:ascii="Arial" w:cs="Arial" w:eastAsia="Arial" w:hAnsi="Arial"/>
                <w:sz w:val="18"/>
                <w:szCs w:val="18"/>
                <w:color w:val="auto"/>
              </w:rPr>
              <w:t>Weighted-average shares outstanding used in computing earnings per share, GAAP</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(in millions)</w:t>
            </w: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133.1</w:t>
            </w: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Diluted (in millions)</w:t>
            </w:r>
          </w:p>
        </w:tc>
        <w:tc>
          <w:tcPr>
            <w:tcW w:w="52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140.9</w:t>
            </w: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earnings per share, GAAP</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0.75</w:t>
            </w: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Diluted earnings per share, GAAP</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0.69</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0.72</w:t>
            </w:r>
          </w:p>
        </w:tc>
      </w:tr>
      <w:tr>
        <w:trPr>
          <w:trHeight w:val="270"/>
        </w:trPr>
        <w:tc>
          <w:tcPr>
            <w:tcW w:w="5820" w:type="dxa"/>
            <w:vAlign w:val="bottom"/>
            <w:gridSpan w:val="3"/>
            <w:shd w:val="clear" w:color="auto" w:fill="CCEEFF"/>
          </w:tcPr>
          <w:p>
            <w:pPr>
              <w:spacing w:after="0"/>
              <w:rPr>
                <w:sz w:val="23"/>
                <w:szCs w:val="23"/>
                <w:color w:val="auto"/>
              </w:rPr>
            </w:pPr>
          </w:p>
        </w:tc>
        <w:tc>
          <w:tcPr>
            <w:tcW w:w="180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43"/>
        </w:trPr>
        <w:tc>
          <w:tcPr>
            <w:tcW w:w="7720" w:type="dxa"/>
            <w:vAlign w:val="bottom"/>
            <w:gridSpan w:val="7"/>
          </w:tcPr>
          <w:p>
            <w:pPr>
              <w:ind w:left="20"/>
              <w:spacing w:after="0"/>
              <w:rPr>
                <w:sz w:val="20"/>
                <w:szCs w:val="20"/>
                <w:color w:val="auto"/>
              </w:rPr>
            </w:pPr>
            <w:r>
              <w:rPr>
                <w:rFonts w:ascii="Arial" w:cs="Arial" w:eastAsia="Arial" w:hAnsi="Arial"/>
                <w:sz w:val="18"/>
                <w:szCs w:val="18"/>
                <w:color w:val="auto"/>
              </w:rPr>
              <w:t>Weighted-average shares outstanding used in computing earnings per share, Non-GAAP</w:t>
            </w: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(in millions)</w:t>
            </w: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133.1</w:t>
            </w:r>
          </w:p>
        </w:tc>
      </w:tr>
      <w:tr>
        <w:trPr>
          <w:trHeight w:val="243"/>
        </w:trPr>
        <w:tc>
          <w:tcPr>
            <w:tcW w:w="4100" w:type="dxa"/>
            <w:vAlign w:val="bottom"/>
          </w:tcPr>
          <w:p>
            <w:pPr>
              <w:ind w:left="140"/>
              <w:spacing w:after="0"/>
              <w:rPr>
                <w:sz w:val="20"/>
                <w:szCs w:val="20"/>
                <w:color w:val="auto"/>
              </w:rPr>
            </w:pPr>
            <w:r>
              <w:rPr>
                <w:rFonts w:ascii="Arial" w:cs="Arial" w:eastAsia="Arial" w:hAnsi="Arial"/>
                <w:sz w:val="18"/>
                <w:szCs w:val="18"/>
                <w:color w:val="auto"/>
              </w:rPr>
              <w:t>Diluted (in millions)</w:t>
            </w:r>
          </w:p>
        </w:tc>
        <w:tc>
          <w:tcPr>
            <w:tcW w:w="52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131.4</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140.9</w:t>
            </w: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earnings per share, Non-GAAP</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1.10</w:t>
            </w:r>
          </w:p>
        </w:tc>
      </w:tr>
      <w:tr>
        <w:trPr>
          <w:trHeight w:val="247"/>
        </w:trPr>
        <w:tc>
          <w:tcPr>
            <w:tcW w:w="4100" w:type="dxa"/>
            <w:vAlign w:val="bottom"/>
          </w:tcPr>
          <w:p>
            <w:pPr>
              <w:ind w:left="140"/>
              <w:spacing w:after="0"/>
              <w:rPr>
                <w:sz w:val="20"/>
                <w:szCs w:val="20"/>
                <w:color w:val="auto"/>
              </w:rPr>
            </w:pPr>
            <w:r>
              <w:rPr>
                <w:rFonts w:ascii="Arial" w:cs="Arial" w:eastAsia="Arial" w:hAnsi="Arial"/>
                <w:sz w:val="18"/>
                <w:szCs w:val="18"/>
                <w:color w:val="auto"/>
              </w:rPr>
              <w:t>Diluted earnings per share, Non-GAAP</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0.40</w:t>
            </w:r>
          </w:p>
        </w:tc>
        <w:tc>
          <w:tcPr>
            <w:tcW w:w="8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327" w:lineRule="exact"/>
        <w:rPr>
          <w:sz w:val="20"/>
          <w:szCs w:val="20"/>
          <w:color w:val="auto"/>
        </w:rPr>
      </w:pPr>
    </w:p>
    <w:p>
      <w:pPr>
        <w:ind w:right="20" w:firstLine="8"/>
        <w:spacing w:after="0" w:line="283" w:lineRule="auto"/>
        <w:tabs>
          <w:tab w:leader="none" w:pos="154"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the three and nine months ended September 30, 2026, we incurred $4.3 million and $18.1 million in costs related to the restructuring announced in May 2026, respectively. Of these amounts, $2.7 million and $15.6 million, respectively, are included in Other, while the remaining amounts are allocated among “Stock-based compensation expense”, “Depreciation and amortization”, and “Other income, net”.</w:t>
      </w:r>
    </w:p>
    <w:p>
      <w:pPr>
        <w:spacing w:after="0" w:line="64" w:lineRule="exact"/>
        <w:rPr>
          <w:rFonts w:ascii="Arial" w:cs="Arial" w:eastAsia="Arial" w:hAnsi="Arial"/>
          <w:sz w:val="9"/>
          <w:szCs w:val="9"/>
          <w:color w:val="auto"/>
        </w:rPr>
      </w:pPr>
    </w:p>
    <w:p>
      <w:pPr>
        <w:ind w:right="240" w:firstLine="8"/>
        <w:spacing w:after="0" w:line="251" w:lineRule="auto"/>
        <w:tabs>
          <w:tab w:leader="none" w:pos="154"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For each of the three months ended September 30, 2026 and 2025, we incurred $0.2 million of expense related to the warrant to purchase 500,000 shares of our common stock at an exercise price of $0.01 per share issued to the Tides Foundation in 2018, and for each of the nine months ended September 30, 2026 and 2025, we incurred $0.6 million of such expense.</w:t>
      </w:r>
    </w:p>
    <w:p>
      <w:pPr>
        <w:spacing w:after="0" w:line="260" w:lineRule="exact"/>
        <w:rPr>
          <w:rFonts w:ascii="Arial" w:cs="Arial" w:eastAsia="Arial" w:hAnsi="Arial"/>
          <w:sz w:val="17"/>
          <w:szCs w:val="17"/>
          <w:color w:val="auto"/>
          <w:vertAlign w:val="superscript"/>
        </w:rPr>
      </w:pPr>
    </w:p>
    <w:p>
      <w:pPr>
        <w:ind w:right="220" w:firstLine="8"/>
        <w:spacing w:after="0" w:line="283" w:lineRule="auto"/>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For each of the three and nine months ended September 30, 2026, we incurred transaction-related costs of $5.7 million in connection with the WorkMotion Software GmbH acquisition. These costs primarily consisted of legal, accounting, and other professional fees, and were recorded in general and administrative expenses in the condensed consolidated statements of operations.</w:t>
      </w:r>
    </w:p>
    <w:p>
      <w:pPr>
        <w:spacing w:after="0" w:line="64" w:lineRule="exact"/>
        <w:rPr>
          <w:rFonts w:ascii="Arial" w:cs="Arial" w:eastAsia="Arial" w:hAnsi="Arial"/>
          <w:sz w:val="9"/>
          <w:szCs w:val="9"/>
          <w:color w:val="auto"/>
        </w:rPr>
      </w:pPr>
    </w:p>
    <w:p>
      <w:pPr>
        <w:ind w:right="100" w:firstLine="8"/>
        <w:spacing w:after="0" w:line="291" w:lineRule="auto"/>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For the three and nine months ended September 30, 2025, we incurred acquisition-related costs of $1.9 million and $4.4 million, respectively, in connection with our business combinations. These costs primarily consisted of legal, accounting, and other professional fees, and were recorded in general and administrative expenses in the condensed consolidated statements of operations.</w:t>
      </w:r>
    </w:p>
    <w:p>
      <w:pPr>
        <w:sectPr>
          <w:pgSz w:w="11900" w:h="16838" w:orient="portrait"/>
          <w:cols w:equalWidth="0" w:num="1">
            <w:col w:w="11240"/>
          </w:cols>
          <w:pgMar w:left="320" w:top="20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UPWORK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CASH PROVIDED BY OPERATING ACTIVITIES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FREE CASH FLOW</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334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17"/>
                <w:szCs w:val="17"/>
                <w:color w:val="auto"/>
              </w:rPr>
            </w:pPr>
          </w:p>
        </w:tc>
        <w:tc>
          <w:tcPr>
            <w:tcW w:w="28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Nine Months Ended September</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3340" w:type="dxa"/>
            <w:vAlign w:val="bottom"/>
            <w:gridSpan w:val="6"/>
            <w:vMerge w:val="continue"/>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65,947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184,558</w:t>
            </w:r>
          </w:p>
        </w:tc>
        <w:tc>
          <w:tcPr>
            <w:tcW w:w="0" w:type="dxa"/>
            <w:vAlign w:val="bottom"/>
          </w:tcPr>
          <w:p>
            <w:pPr>
              <w:spacing w:after="0"/>
              <w:rPr>
                <w:sz w:val="1"/>
                <w:szCs w:val="1"/>
                <w:color w:val="auto"/>
              </w:rPr>
            </w:pPr>
          </w:p>
        </w:tc>
      </w:tr>
      <w:tr>
        <w:trPr>
          <w:trHeight w:val="189"/>
        </w:trPr>
        <w:tc>
          <w:tcPr>
            <w:tcW w:w="4920" w:type="dxa"/>
            <w:vAlign w:val="bottom"/>
          </w:tcPr>
          <w:p>
            <w:pPr>
              <w:ind w:left="20"/>
              <w:spacing w:after="0" w:line="189" w:lineRule="exact"/>
              <w:rPr>
                <w:sz w:val="20"/>
                <w:szCs w:val="20"/>
                <w:color w:val="auto"/>
              </w:rPr>
            </w:pPr>
            <w:r>
              <w:rPr>
                <w:rFonts w:ascii="Arial" w:cs="Arial" w:eastAsia="Arial" w:hAnsi="Arial"/>
                <w:sz w:val="18"/>
                <w:szCs w:val="18"/>
                <w:color w:val="auto"/>
              </w:rPr>
              <w:t>Less: purchases of property, plant &amp; equipment and cash</w:t>
            </w:r>
          </w:p>
        </w:tc>
        <w:tc>
          <w:tcPr>
            <w:tcW w:w="112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rPr>
              <w:t>(12,093)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(33,143)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(18,711)</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outflows from internally developed software</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Free cash flow</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53,854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2026-11-02T15:24:30Z</dcterms:created>
  <dcterms:modified xsi:type="dcterms:W3CDTF">2026-11-02T15:24:30Z</dcterms:modified>
</cp:coreProperties>
</file>