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648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64896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6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Hayden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UPWORK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530 LYTTON AVENUE, SUITE 301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UPWORK,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UPWK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97"/>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1" w:lineRule="exact"/>
        <w:rPr>
          <w:sz w:val="24"/>
          <w:szCs w:val="24"/>
          <w:color w:val="auto"/>
        </w:rPr>
      </w:pPr>
    </w:p>
    <w:p>
      <w:pPr>
        <w:sectPr>
          <w:pgSz w:w="11900" w:h="16838" w:orient="portrait"/>
          <w:cols w:equalWidth="0" w:num="3">
            <w:col w:w="3180" w:space="720"/>
            <w:col w:w="3103" w:space="720"/>
            <w:col w:w="3357"/>
          </w:cols>
          <w:pgMar w:left="460" w:top="217" w:right="359" w:bottom="686"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94301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6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jc w:val="center"/>
              <w:ind w:left="58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06/18/2026</w:t>
            </w:r>
          </w:p>
        </w:tc>
        <w:tc>
          <w:tcPr>
            <w:tcW w:w="1100" w:type="dxa"/>
            <w:vAlign w:val="bottom"/>
          </w:tcPr>
          <w:p>
            <w:pPr>
              <w:spacing w:after="0"/>
              <w:rPr>
                <w:sz w:val="22"/>
                <w:szCs w:val="22"/>
                <w:color w:val="auto"/>
              </w:rPr>
            </w:pPr>
          </w:p>
        </w:tc>
        <w:tc>
          <w:tcPr>
            <w:tcW w:w="76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w w:val="86"/>
              </w:rPr>
              <w:t>M</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7"/>
                <w:szCs w:val="17"/>
                <w:color w:val="0000FF"/>
              </w:rPr>
              <w:t>17,733</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792,285</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06/18/2026</w:t>
            </w:r>
          </w:p>
        </w:tc>
        <w:tc>
          <w:tcPr>
            <w:tcW w:w="1100" w:type="dxa"/>
            <w:vAlign w:val="bottom"/>
          </w:tcPr>
          <w:p>
            <w:pPr>
              <w:spacing w:after="0"/>
              <w:rPr>
                <w:sz w:val="22"/>
                <w:szCs w:val="22"/>
                <w:color w:val="auto"/>
              </w:rPr>
            </w:pPr>
          </w:p>
        </w:tc>
        <w:tc>
          <w:tcPr>
            <w:tcW w:w="76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w w:val="86"/>
              </w:rPr>
              <w:t>M</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7"/>
                <w:szCs w:val="17"/>
                <w:color w:val="0000FF"/>
              </w:rPr>
              <w:t>28,678</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820,963</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06/18/2026</w:t>
            </w:r>
          </w:p>
        </w:tc>
        <w:tc>
          <w:tcPr>
            <w:tcW w:w="11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6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23,468</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8.1507</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797,495</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17,733</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06/18/2026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17,733</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124,133</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28,678</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06/18/2026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28,678</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315,452</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the RSUs listed in Table II.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25" w:lineRule="exact"/>
        <w:rPr>
          <w:rFonts w:ascii="Times New Roman" w:cs="Times New Roman" w:eastAsia="Times New Roman" w:hAnsi="Times New Roman"/>
          <w:sz w:val="13"/>
          <w:szCs w:val="13"/>
          <w:color w:val="008000"/>
        </w:rPr>
      </w:pPr>
    </w:p>
    <w:p>
      <w:pPr>
        <w:ind w:left="40" w:right="3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$8.02 to $8.25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quarterly installments over four years beginning on June 18, 2024, subject to the continuing employment of the Reporting Person with the Issuer on each vesting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quarterly installments over four years beginning on June 18, 2025, subject to the continuing employment of the Reporting Person with the Issuer on each vesting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Jacob McQuown, Attorney-  </w:t>
      </w:r>
      <w:r>
        <w:rPr>
          <w:rFonts w:ascii="Times New Roman" w:cs="Times New Roman" w:eastAsia="Times New Roman" w:hAnsi="Times New Roman"/>
          <w:sz w:val="33"/>
          <w:szCs w:val="33"/>
          <w:color w:val="0000FF"/>
          <w:vertAlign w:val="subscript"/>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6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53662" TargetMode="External"/><Relationship Id="rId14" Type="http://schemas.openxmlformats.org/officeDocument/2006/relationships/hyperlink" Target="http://www.sec.gov/cgi-bin/browse-edgar?action=getcompany&amp;CIK=00016274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2026-06-23T16:56:29Z</dcterms:created>
  <dcterms:modified xsi:type="dcterms:W3CDTF">2026-06-23T16:56:29Z</dcterms:modified>
</cp:coreProperties>
</file>